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D72A2" w14:textId="1DA7D274" w:rsidR="0026097E" w:rsidRPr="00EC1A52" w:rsidRDefault="00CA47B1" w:rsidP="00EC1A52">
      <w:pPr>
        <w:spacing w:after="291" w:line="259" w:lineRule="auto"/>
        <w:ind w:firstLine="0"/>
        <w:jc w:val="left"/>
      </w:pPr>
      <w:bookmarkStart w:id="0" w:name="_Hlk49953558"/>
      <w:r w:rsidRPr="00CA47B1">
        <w:rPr>
          <w:rFonts w:ascii="宋体" w:eastAsia="宋体" w:hAnsi="宋体" w:cs="宋体" w:hint="eastAsia"/>
          <w:b/>
          <w:sz w:val="14"/>
        </w:rPr>
        <w:t>该国际标准是根据世界贸易组织技术性贸易壁垒（</w:t>
      </w:r>
      <w:r w:rsidRPr="00CA47B1">
        <w:rPr>
          <w:b/>
          <w:sz w:val="14"/>
        </w:rPr>
        <w:t>TBT</w:t>
      </w:r>
      <w:r w:rsidRPr="00CA47B1">
        <w:rPr>
          <w:rFonts w:ascii="宋体" w:eastAsia="宋体" w:hAnsi="宋体" w:cs="宋体" w:hint="eastAsia"/>
          <w:b/>
          <w:sz w:val="14"/>
        </w:rPr>
        <w:t>）委员会发布的《关于制定国际标准，指南和建议的原则的决定》中确立的国际公认的标准化原则制定的。</w:t>
      </w:r>
      <w:r w:rsidR="00284695">
        <w:rPr>
          <w:rFonts w:ascii="Calibri" w:eastAsia="Calibri" w:hAnsi="Calibri" w:cs="Calibri"/>
          <w:noProof/>
          <w:color w:val="000000"/>
          <w:sz w:val="22"/>
        </w:rPr>
        <mc:AlternateContent>
          <mc:Choice Requires="wpg">
            <w:drawing>
              <wp:inline distT="0" distB="0" distL="0" distR="0" wp14:anchorId="2A90F9BE" wp14:editId="16C9B3B6">
                <wp:extent cx="682739" cy="658368"/>
                <wp:effectExtent l="0" t="0" r="0" b="0"/>
                <wp:docPr id="58586" name="Group 58586"/>
                <wp:cNvGraphicFramePr/>
                <a:graphic xmlns:a="http://schemas.openxmlformats.org/drawingml/2006/main">
                  <a:graphicData uri="http://schemas.microsoft.com/office/word/2010/wordprocessingGroup">
                    <wpg:wgp>
                      <wpg:cNvGrpSpPr/>
                      <wpg:grpSpPr>
                        <a:xfrm>
                          <a:off x="0" y="0"/>
                          <a:ext cx="682739" cy="658368"/>
                          <a:chOff x="0" y="0"/>
                          <a:chExt cx="682739" cy="658368"/>
                        </a:xfrm>
                      </wpg:grpSpPr>
                      <pic:pic xmlns:pic="http://schemas.openxmlformats.org/drawingml/2006/picture">
                        <pic:nvPicPr>
                          <pic:cNvPr id="6" name="Picture 6"/>
                          <pic:cNvPicPr/>
                        </pic:nvPicPr>
                        <pic:blipFill>
                          <a:blip r:embed="rId8"/>
                          <a:stretch>
                            <a:fillRect/>
                          </a:stretch>
                        </pic:blipFill>
                        <pic:spPr>
                          <a:xfrm>
                            <a:off x="0" y="0"/>
                            <a:ext cx="682739" cy="658368"/>
                          </a:xfrm>
                          <a:prstGeom prst="rect">
                            <a:avLst/>
                          </a:prstGeom>
                        </pic:spPr>
                      </pic:pic>
                      <wps:wsp>
                        <wps:cNvPr id="125" name="Rectangle 125"/>
                        <wps:cNvSpPr/>
                        <wps:spPr>
                          <a:xfrm>
                            <a:off x="273919" y="72734"/>
                            <a:ext cx="94373" cy="123629"/>
                          </a:xfrm>
                          <a:prstGeom prst="rect">
                            <a:avLst/>
                          </a:prstGeom>
                          <a:ln>
                            <a:noFill/>
                          </a:ln>
                        </wps:spPr>
                        <wps:txbx>
                          <w:txbxContent>
                            <w:p w14:paraId="02B11168" w14:textId="77777777" w:rsidR="00AC4723" w:rsidRDefault="00AC4723">
                              <w:pPr>
                                <w:spacing w:after="160" w:line="259" w:lineRule="auto"/>
                                <w:ind w:firstLine="0"/>
                                <w:jc w:val="left"/>
                              </w:pPr>
                              <w:r>
                                <w:rPr>
                                  <w:rFonts w:ascii="Courier New" w:eastAsia="Courier New" w:hAnsi="Courier New" w:cs="Courier New"/>
                                  <w:color w:val="000000"/>
                                  <w:sz w:val="19"/>
                                </w:rPr>
                                <w:t xml:space="preserve"> </w:t>
                              </w:r>
                            </w:p>
                          </w:txbxContent>
                        </wps:txbx>
                        <wps:bodyPr horzOverflow="overflow" vert="horz" lIns="0" tIns="0" rIns="0" bIns="0" rtlCol="0">
                          <a:noAutofit/>
                        </wps:bodyPr>
                      </wps:wsp>
                    </wpg:wgp>
                  </a:graphicData>
                </a:graphic>
              </wp:inline>
            </w:drawing>
          </mc:Choice>
          <mc:Fallback>
            <w:pict>
              <v:group w14:anchorId="2A90F9BE" id="Group 58586" o:spid="_x0000_s1026" style="width:53.75pt;height:51.85pt;mso-position-horizontal-relative:char;mso-position-vertical-relative:line" coordsize="6827,65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6827;height:6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">
                  <v:imagedata r:id="rId9" o:title=""/>
                </v:shape>
                <v:rect id="Rectangle 125" o:spid="_x0000_s1028" style="position:absolute;left:2739;top:727;width:943;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02B11168" w14:textId="77777777" w:rsidR="00AC4723" w:rsidRDefault="00AC4723">
                        <w:pPr>
                          <w:spacing w:after="160" w:line="259" w:lineRule="auto"/>
                          <w:ind w:firstLine="0"/>
                          <w:jc w:val="left"/>
                        </w:pPr>
                        <w:r>
                          <w:rPr>
                            <w:rFonts w:ascii="Courier New" w:eastAsia="Courier New" w:hAnsi="Courier New" w:cs="Courier New"/>
                            <w:color w:val="000000"/>
                            <w:sz w:val="19"/>
                          </w:rPr>
                          <w:t xml:space="preserve"> </w:t>
                        </w:r>
                      </w:p>
                    </w:txbxContent>
                  </v:textbox>
                </v:rect>
                <w10:anchorlock/>
              </v:group>
            </w:pict>
          </mc:Fallback>
        </mc:AlternateContent>
      </w:r>
      <w:r w:rsidR="00284695">
        <w:rPr>
          <w:rFonts w:ascii="Arial" w:eastAsia="Arial" w:hAnsi="Arial" w:cs="Arial"/>
          <w:b/>
          <w:sz w:val="22"/>
        </w:rPr>
        <w:t xml:space="preserve"> Designation: E3219 </w:t>
      </w:r>
      <w:r w:rsidR="00284695">
        <w:rPr>
          <w:b/>
        </w:rPr>
        <w:t xml:space="preserve">− </w:t>
      </w:r>
      <w:r w:rsidR="00284695">
        <w:rPr>
          <w:rFonts w:ascii="Arial" w:eastAsia="Arial" w:hAnsi="Arial" w:cs="Arial"/>
          <w:b/>
          <w:sz w:val="22"/>
        </w:rPr>
        <w:t>20</w:t>
      </w:r>
    </w:p>
    <w:p w14:paraId="2E00B6BF" w14:textId="76E20E28" w:rsidR="002B32BD" w:rsidRPr="002B32BD" w:rsidRDefault="002B32BD" w:rsidP="002B32BD">
      <w:pPr>
        <w:spacing w:after="3" w:line="251" w:lineRule="auto"/>
        <w:ind w:left="-142" w:right="1141" w:hanging="10"/>
        <w:rPr>
          <w:sz w:val="15"/>
        </w:rPr>
      </w:pPr>
      <w:r w:rsidRPr="002B32BD">
        <w:rPr>
          <w:rFonts w:ascii="宋体" w:eastAsia="宋体" w:hAnsi="宋体" w:cs="宋体" w:hint="eastAsia"/>
          <w:sz w:val="15"/>
        </w:rPr>
        <w:t>本标准以固定名称</w:t>
      </w:r>
      <w:r w:rsidRPr="002B32BD">
        <w:rPr>
          <w:sz w:val="15"/>
        </w:rPr>
        <w:t>E3219</w:t>
      </w:r>
      <w:r w:rsidRPr="002B32BD">
        <w:rPr>
          <w:rFonts w:ascii="宋体" w:eastAsia="宋体" w:hAnsi="宋体" w:cs="宋体" w:hint="eastAsia"/>
          <w:sz w:val="15"/>
        </w:rPr>
        <w:t>发行。</w:t>
      </w:r>
      <w:r w:rsidRPr="002B32BD">
        <w:rPr>
          <w:sz w:val="15"/>
        </w:rPr>
        <w:t xml:space="preserve"> </w:t>
      </w:r>
      <w:r w:rsidRPr="002B32BD">
        <w:rPr>
          <w:rFonts w:ascii="宋体" w:eastAsia="宋体" w:hAnsi="宋体" w:cs="宋体" w:hint="eastAsia"/>
          <w:sz w:val="15"/>
        </w:rPr>
        <w:t>名称后的数字表示最初采用的年份，如果是修订版本，则表示上次修订的年份。</w:t>
      </w:r>
      <w:r w:rsidRPr="002B32BD">
        <w:rPr>
          <w:sz w:val="15"/>
        </w:rPr>
        <w:t xml:space="preserve"> </w:t>
      </w:r>
      <w:r w:rsidRPr="002B32BD">
        <w:rPr>
          <w:rFonts w:ascii="宋体" w:eastAsia="宋体" w:hAnsi="宋体" w:cs="宋体" w:hint="eastAsia"/>
          <w:sz w:val="15"/>
        </w:rPr>
        <w:t>括号中的数字表示上次重新批准的年份。</w:t>
      </w:r>
      <w:r w:rsidRPr="002B32BD">
        <w:rPr>
          <w:sz w:val="15"/>
        </w:rPr>
        <w:t xml:space="preserve"> </w:t>
      </w:r>
      <w:r w:rsidRPr="002B32BD">
        <w:rPr>
          <w:rFonts w:ascii="宋体" w:eastAsia="宋体" w:hAnsi="宋体" w:cs="宋体" w:hint="eastAsia"/>
          <w:sz w:val="15"/>
        </w:rPr>
        <w:t>上标（</w:t>
      </w:r>
      <w:r>
        <w:rPr>
          <w:sz w:val="15"/>
        </w:rPr>
        <w:t xml:space="preserve"> </w:t>
      </w:r>
      <w:r w:rsidRPr="002B32BD">
        <w:rPr>
          <w:rFonts w:ascii="宋体" w:eastAsia="宋体" w:hAnsi="宋体" w:cs="宋体" w:hint="eastAsia"/>
          <w:sz w:val="15"/>
        </w:rPr>
        <w:t>）表示自上次修订或重新批准以来的编辑更改。</w:t>
      </w:r>
    </w:p>
    <w:p w14:paraId="470EF86C" w14:textId="77777777" w:rsidR="0026097E" w:rsidRPr="00284695" w:rsidRDefault="0026097E">
      <w:pPr>
        <w:sectPr w:rsidR="0026097E" w:rsidRPr="00284695">
          <w:headerReference w:type="even" r:id="rId10"/>
          <w:headerReference w:type="default" r:id="rId11"/>
          <w:footerReference w:type="even" r:id="rId12"/>
          <w:footerReference w:type="default" r:id="rId13"/>
          <w:headerReference w:type="first" r:id="rId14"/>
          <w:footerReference w:type="first" r:id="rId15"/>
          <w:pgSz w:w="11674" w:h="15625"/>
          <w:pgMar w:top="237" w:right="625" w:bottom="753" w:left="629" w:header="720" w:footer="440" w:gutter="0"/>
          <w:cols w:space="720"/>
          <w:titlePg/>
        </w:sectPr>
      </w:pPr>
    </w:p>
    <w:p w14:paraId="245D15B0" w14:textId="3BEF234A" w:rsidR="0026097E" w:rsidRDefault="00284695">
      <w:pPr>
        <w:pStyle w:val="2"/>
        <w:spacing w:after="117"/>
        <w:ind w:left="-5"/>
      </w:pPr>
      <w:r>
        <w:t xml:space="preserve">1. </w:t>
      </w:r>
      <w:r w:rsidR="002B32BD">
        <w:rPr>
          <w:rFonts w:ascii="宋体" w:eastAsia="宋体" w:hAnsi="宋体" w:cs="宋体" w:hint="eastAsia"/>
        </w:rPr>
        <w:t>范围</w:t>
      </w:r>
    </w:p>
    <w:p w14:paraId="23E62972" w14:textId="77777777" w:rsidR="002B32BD" w:rsidRDefault="002B32BD" w:rsidP="002B32BD">
      <w:pPr>
        <w:spacing w:after="122"/>
        <w:ind w:left="-15"/>
      </w:pPr>
      <w:r>
        <w:t>1.1</w:t>
      </w:r>
      <w:r>
        <w:rPr>
          <w:rFonts w:ascii="宋体" w:eastAsia="宋体" w:hAnsi="宋体" w:cs="宋体" w:hint="eastAsia"/>
        </w:rPr>
        <w:t>本指南描述了有关活性药物成分（</w:t>
      </w:r>
      <w:r>
        <w:t>API</w:t>
      </w:r>
      <w:r>
        <w:rPr>
          <w:rFonts w:ascii="宋体" w:eastAsia="宋体" w:hAnsi="宋体" w:cs="宋体" w:hint="eastAsia"/>
        </w:rPr>
        <w:t>）的所有数据的综合解释所依据的科学程序，同时考虑了研究的充分性，相关性，可靠性，有效性和化合物特异性特征（例如，药效，毒理学特征和药代动力学）</w:t>
      </w:r>
      <w:r>
        <w:t xml:space="preserve"> API</w:t>
      </w:r>
      <w:r>
        <w:rPr>
          <w:rFonts w:ascii="宋体" w:eastAsia="宋体" w:hAnsi="宋体" w:cs="宋体" w:hint="eastAsia"/>
        </w:rPr>
        <w:t>的数值，该数值将进一步用于在同</w:t>
      </w:r>
      <w:proofErr w:type="gramStart"/>
      <w:r>
        <w:rPr>
          <w:rFonts w:ascii="宋体" w:eastAsia="宋体" w:hAnsi="宋体" w:cs="宋体" w:hint="eastAsia"/>
        </w:rPr>
        <w:t>一制造</w:t>
      </w:r>
      <w:proofErr w:type="gramEnd"/>
      <w:r>
        <w:rPr>
          <w:rFonts w:ascii="宋体" w:eastAsia="宋体" w:hAnsi="宋体" w:cs="宋体" w:hint="eastAsia"/>
        </w:rPr>
        <w:t>设施中制造不同产品的过程中交叉污染的质量风险管理（</w:t>
      </w:r>
      <w:r>
        <w:t>ICH Q9</w:t>
      </w:r>
      <w:r>
        <w:rPr>
          <w:rFonts w:ascii="宋体" w:eastAsia="宋体" w:hAnsi="宋体" w:cs="宋体" w:hint="eastAsia"/>
        </w:rPr>
        <w:t>）。</w:t>
      </w:r>
    </w:p>
    <w:p w14:paraId="4FD0D022" w14:textId="77777777" w:rsidR="002B32BD" w:rsidRDefault="002B32BD" w:rsidP="002B32BD">
      <w:pPr>
        <w:spacing w:after="122"/>
        <w:ind w:left="-15"/>
      </w:pPr>
      <w:r>
        <w:t>1.2</w:t>
      </w:r>
      <w:r>
        <w:rPr>
          <w:rFonts w:ascii="宋体" w:eastAsia="宋体" w:hAnsi="宋体" w:cs="宋体" w:hint="eastAsia"/>
        </w:rPr>
        <w:t>本指南介绍了用于计算和记录基于健康的接触限值（</w:t>
      </w:r>
      <w:r>
        <w:t>HBEL</w:t>
      </w:r>
      <w:r>
        <w:rPr>
          <w:rFonts w:ascii="宋体" w:eastAsia="宋体" w:hAnsi="宋体" w:cs="宋体" w:hint="eastAsia"/>
        </w:rPr>
        <w:t>）的一般指南。它应为相关的合格专家提供参考，以作为</w:t>
      </w:r>
      <w:r>
        <w:t>HBEL</w:t>
      </w:r>
      <w:r>
        <w:rPr>
          <w:rFonts w:ascii="宋体" w:eastAsia="宋体" w:hAnsi="宋体" w:cs="宋体" w:hint="eastAsia"/>
        </w:rPr>
        <w:t>推导的参考，并应在最大程度上协调不同的方法和术语。</w:t>
      </w:r>
    </w:p>
    <w:p w14:paraId="18CD7A67" w14:textId="77777777" w:rsidR="002B32BD" w:rsidRDefault="002B32BD" w:rsidP="002B32BD">
      <w:pPr>
        <w:spacing w:after="122"/>
        <w:ind w:left="-15"/>
      </w:pPr>
      <w:r>
        <w:t>1.3</w:t>
      </w:r>
      <w:r>
        <w:rPr>
          <w:rFonts w:ascii="宋体" w:eastAsia="宋体" w:hAnsi="宋体" w:cs="宋体" w:hint="eastAsia"/>
        </w:rPr>
        <w:t>在必要或必要时，应将本指南用于计算和记录用于以下用途的</w:t>
      </w:r>
      <w:r>
        <w:t>API</w:t>
      </w:r>
      <w:r>
        <w:rPr>
          <w:rFonts w:ascii="宋体" w:eastAsia="宋体" w:hAnsi="宋体" w:cs="宋体" w:hint="eastAsia"/>
        </w:rPr>
        <w:t>（包括生物制剂），中间体，清洁剂，赋形剂和其他化学品（即试剂，制造残留物等）的</w:t>
      </w:r>
      <w:r>
        <w:t>HBEL</w:t>
      </w:r>
      <w:r>
        <w:rPr>
          <w:rFonts w:ascii="宋体" w:eastAsia="宋体" w:hAnsi="宋体" w:cs="宋体" w:hint="eastAsia"/>
        </w:rPr>
        <w:t>。清洁验证和验证（指南</w:t>
      </w:r>
      <w:r>
        <w:t>F3127</w:t>
      </w:r>
      <w:r>
        <w:rPr>
          <w:rFonts w:ascii="宋体" w:eastAsia="宋体" w:hAnsi="宋体" w:cs="宋体" w:hint="eastAsia"/>
        </w:rPr>
        <w:t>和</w:t>
      </w:r>
      <w:r>
        <w:t>E3106</w:t>
      </w:r>
      <w:r>
        <w:rPr>
          <w:rFonts w:ascii="宋体" w:eastAsia="宋体" w:hAnsi="宋体" w:cs="宋体" w:hint="eastAsia"/>
        </w:rPr>
        <w:t>）。范围是制造设备和医疗设备表面的清洁和交叉污染，但不包括可浸出物</w:t>
      </w:r>
      <w:r>
        <w:t>/</w:t>
      </w:r>
      <w:r>
        <w:rPr>
          <w:rFonts w:ascii="宋体" w:eastAsia="宋体" w:hAnsi="宋体" w:cs="宋体" w:hint="eastAsia"/>
        </w:rPr>
        <w:t>可萃取物（</w:t>
      </w:r>
      <w:r>
        <w:t>21 CFR 211.67</w:t>
      </w:r>
      <w:r>
        <w:rPr>
          <w:rFonts w:ascii="宋体" w:eastAsia="宋体" w:hAnsi="宋体" w:cs="宋体" w:hint="eastAsia"/>
        </w:rPr>
        <w:t>、</w:t>
      </w:r>
      <w:r>
        <w:t>21 CFR 610.11</w:t>
      </w:r>
      <w:r>
        <w:rPr>
          <w:rFonts w:ascii="宋体" w:eastAsia="宋体" w:hAnsi="宋体" w:cs="宋体" w:hint="eastAsia"/>
        </w:rPr>
        <w:t>、</w:t>
      </w:r>
      <w:r>
        <w:t>21 CFR 820.70</w:t>
      </w:r>
      <w:r>
        <w:rPr>
          <w:rFonts w:ascii="宋体" w:eastAsia="宋体" w:hAnsi="宋体" w:cs="宋体" w:hint="eastAsia"/>
        </w:rPr>
        <w:t>和</w:t>
      </w:r>
      <w:r>
        <w:t>21 CFR 111.27</w:t>
      </w:r>
      <w:r>
        <w:rPr>
          <w:rFonts w:ascii="宋体" w:eastAsia="宋体" w:hAnsi="宋体" w:cs="宋体" w:hint="eastAsia"/>
        </w:rPr>
        <w:t>）。</w:t>
      </w:r>
    </w:p>
    <w:p w14:paraId="1DDD70ED" w14:textId="77777777" w:rsidR="002B32BD" w:rsidRDefault="002B32BD" w:rsidP="002B32BD">
      <w:pPr>
        <w:spacing w:after="122"/>
        <w:ind w:left="-15"/>
      </w:pPr>
      <w:r>
        <w:t>1.4</w:t>
      </w:r>
      <w:r>
        <w:rPr>
          <w:rFonts w:ascii="宋体" w:eastAsia="宋体" w:hAnsi="宋体" w:cs="宋体" w:hint="eastAsia"/>
        </w:rPr>
        <w:t>本指南中的原则也可以用作设定职业接触限值的基础。</w:t>
      </w:r>
    </w:p>
    <w:p w14:paraId="3D0FCDE4" w14:textId="5341EDB7" w:rsidR="0026097E" w:rsidRDefault="002B32BD" w:rsidP="002B32BD">
      <w:pPr>
        <w:spacing w:after="122"/>
        <w:ind w:left="-15"/>
      </w:pPr>
      <w:r>
        <w:t>1.5</w:t>
      </w:r>
      <w:r>
        <w:rPr>
          <w:rFonts w:ascii="宋体" w:eastAsia="宋体" w:hAnsi="宋体" w:cs="宋体" w:hint="eastAsia"/>
        </w:rPr>
        <w:t>本指南中的原则可以在小分子或大分子量药物以及分离的药物中间体的开发和商业生产中应用</w:t>
      </w:r>
      <w:r w:rsidR="00284695">
        <w:t>.</w:t>
      </w:r>
    </w:p>
    <w:p w14:paraId="225A7B7F" w14:textId="6A7763F8" w:rsidR="0026097E" w:rsidRDefault="00284695">
      <w:pPr>
        <w:spacing w:after="96"/>
        <w:ind w:left="-15"/>
      </w:pPr>
      <w:r>
        <w:t>1.6</w:t>
      </w:r>
      <w:r w:rsidR="002B32BD" w:rsidRPr="002B32BD">
        <w:rPr>
          <w:rFonts w:ascii="宋体" w:eastAsia="宋体" w:hAnsi="宋体" w:cs="宋体" w:hint="eastAsia"/>
        </w:rPr>
        <w:t>如果需要（例如，由于生物利用度的差异），可以针对特定的暴露途径（例如，口服，吸入和肠胃外）和特定</w:t>
      </w:r>
      <w:r w:rsidR="002B32BD" w:rsidRPr="002B32BD">
        <w:rPr>
          <w:rFonts w:ascii="宋体" w:eastAsia="宋体" w:hAnsi="宋体" w:cs="宋体" w:hint="eastAsia"/>
        </w:rPr>
        <w:t>患者人群（例如，儿童）设置后续产品的</w:t>
      </w:r>
      <w:r w:rsidR="002B32BD" w:rsidRPr="002B32BD">
        <w:t>HBEL</w:t>
      </w:r>
      <w:r w:rsidR="002B32BD" w:rsidRPr="002B32BD">
        <w:rPr>
          <w:rFonts w:ascii="宋体" w:eastAsia="宋体" w:hAnsi="宋体" w:cs="宋体" w:hint="eastAsia"/>
        </w:rPr>
        <w:t>值，例如</w:t>
      </w:r>
      <w:r w:rsidR="002B32BD" w:rsidRPr="002B32BD">
        <w:t xml:space="preserve"> </w:t>
      </w:r>
      <w:r w:rsidR="002B32BD" w:rsidRPr="002B32BD">
        <w:rPr>
          <w:rFonts w:ascii="宋体" w:eastAsia="宋体" w:hAnsi="宋体" w:cs="宋体" w:hint="eastAsia"/>
        </w:rPr>
        <w:t>制造商，其中每日剂量不是针对</w:t>
      </w:r>
      <w:r w:rsidR="002B32BD" w:rsidRPr="002B32BD">
        <w:t>50</w:t>
      </w:r>
      <w:r w:rsidR="002B32BD" w:rsidRPr="002B32BD">
        <w:rPr>
          <w:rFonts w:ascii="宋体" w:eastAsia="宋体" w:hAnsi="宋体" w:cs="宋体" w:hint="eastAsia"/>
        </w:rPr>
        <w:t>公斤标准成人，而是将剂型调整为具有较低体重的目标人群。</w:t>
      </w:r>
      <w:r>
        <w:t>t.</w:t>
      </w:r>
    </w:p>
    <w:p w14:paraId="154911EB" w14:textId="77777777" w:rsidR="002B32BD" w:rsidRDefault="00284695" w:rsidP="002B32BD">
      <w:pPr>
        <w:spacing w:after="94"/>
        <w:ind w:left="-15"/>
      </w:pPr>
      <w:r>
        <w:t xml:space="preserve">1.7 </w:t>
      </w:r>
      <w:r w:rsidR="002B32BD">
        <w:rPr>
          <w:rFonts w:ascii="宋体" w:eastAsia="宋体" w:hAnsi="宋体" w:cs="宋体" w:hint="eastAsia"/>
        </w:rPr>
        <w:t>本指南的主要范围是确保通过药品暴露于残留活性物质和中间体的人类患者的安全。本指南的一般原则也可以应用于兽药的生产。但是，可能存在某些独特的毒理学和药理学物种特异性差异，例如新陈代谢和敏感性以及本指南中未涉及的假设（例如兽药的体重）。</w:t>
      </w:r>
    </w:p>
    <w:p w14:paraId="2F412290" w14:textId="77777777" w:rsidR="002B32BD" w:rsidRDefault="002B32BD" w:rsidP="002B32BD">
      <w:pPr>
        <w:spacing w:after="94"/>
        <w:ind w:left="-15"/>
      </w:pPr>
      <w:r>
        <w:t>1.8</w:t>
      </w:r>
      <w:r>
        <w:rPr>
          <w:rFonts w:ascii="宋体" w:eastAsia="宋体" w:hAnsi="宋体" w:cs="宋体" w:hint="eastAsia"/>
        </w:rPr>
        <w:t>本指南可以单独使用，也可以与</w:t>
      </w:r>
      <w:r>
        <w:t>ASTM International</w:t>
      </w:r>
      <w:r>
        <w:rPr>
          <w:rFonts w:ascii="宋体" w:eastAsia="宋体" w:hAnsi="宋体" w:cs="宋体" w:hint="eastAsia"/>
        </w:rPr>
        <w:t>发布的其他建议的</w:t>
      </w:r>
      <w:r>
        <w:t>E55</w:t>
      </w:r>
      <w:r>
        <w:rPr>
          <w:rFonts w:ascii="宋体" w:eastAsia="宋体" w:hAnsi="宋体" w:cs="宋体" w:hint="eastAsia"/>
        </w:rPr>
        <w:t>标准结合使用。</w:t>
      </w:r>
    </w:p>
    <w:p w14:paraId="70D7BF02" w14:textId="77777777" w:rsidR="002B32BD" w:rsidRDefault="002B32BD" w:rsidP="002B32BD">
      <w:pPr>
        <w:spacing w:after="94"/>
        <w:ind w:left="-15"/>
      </w:pPr>
      <w:r>
        <w:t>1.9</w:t>
      </w:r>
      <w:r>
        <w:rPr>
          <w:rFonts w:ascii="宋体" w:eastAsia="宋体" w:hAnsi="宋体" w:cs="宋体" w:hint="eastAsia"/>
        </w:rPr>
        <w:t>单位</w:t>
      </w:r>
      <w:r>
        <w:t>-</w:t>
      </w:r>
      <w:r>
        <w:rPr>
          <w:rFonts w:ascii="宋体" w:eastAsia="宋体" w:hAnsi="宋体" w:cs="宋体" w:hint="eastAsia"/>
        </w:rPr>
        <w:t>以</w:t>
      </w:r>
      <w:r>
        <w:t>SI</w:t>
      </w:r>
      <w:r>
        <w:rPr>
          <w:rFonts w:ascii="宋体" w:eastAsia="宋体" w:hAnsi="宋体" w:cs="宋体" w:hint="eastAsia"/>
        </w:rPr>
        <w:t>单位表示的值应视为标准值。本标准不包括其他计量单位。</w:t>
      </w:r>
    </w:p>
    <w:p w14:paraId="1FC7A19F" w14:textId="77777777" w:rsidR="002B32BD" w:rsidRDefault="002B32BD" w:rsidP="002B32BD">
      <w:pPr>
        <w:spacing w:after="94"/>
        <w:ind w:left="-15"/>
      </w:pPr>
      <w:r>
        <w:t>1.10</w:t>
      </w:r>
      <w:r>
        <w:rPr>
          <w:rFonts w:ascii="宋体" w:eastAsia="宋体" w:hAnsi="宋体" w:cs="宋体" w:hint="eastAsia"/>
        </w:rPr>
        <w:t>本标准并非旨在解决与使用相关的所有安全问题。本标准的使用者有责任建立适当的安全，健康和环境规范，并在使用前确定法规限制的适用性。</w:t>
      </w:r>
    </w:p>
    <w:p w14:paraId="41104C2D" w14:textId="489007D5" w:rsidR="0026097E" w:rsidRDefault="002B32BD" w:rsidP="002B32BD">
      <w:pPr>
        <w:spacing w:after="94"/>
        <w:ind w:left="-15"/>
      </w:pPr>
      <w:r>
        <w:t>1.11</w:t>
      </w:r>
      <w:r>
        <w:rPr>
          <w:rFonts w:ascii="宋体" w:eastAsia="宋体" w:hAnsi="宋体" w:cs="宋体" w:hint="eastAsia"/>
        </w:rPr>
        <w:t>本国际标准是根据世界贸易组织技术性贸易壁垒（</w:t>
      </w:r>
      <w:r>
        <w:t>TBT</w:t>
      </w:r>
      <w:r>
        <w:rPr>
          <w:rFonts w:ascii="宋体" w:eastAsia="宋体" w:hAnsi="宋体" w:cs="宋体" w:hint="eastAsia"/>
        </w:rPr>
        <w:t>）委员会发布的《关于制定国际标准，指南和建议的原则的决定》中确立的国际公认的标准化原则制定的</w:t>
      </w:r>
      <w:r w:rsidR="00284695">
        <w:rPr>
          <w:i/>
        </w:rPr>
        <w:t>.</w:t>
      </w:r>
    </w:p>
    <w:p w14:paraId="29473935" w14:textId="6719EC35" w:rsidR="0026097E" w:rsidRDefault="00284695">
      <w:pPr>
        <w:pStyle w:val="2"/>
        <w:ind w:left="-5"/>
      </w:pPr>
      <w:r>
        <w:t xml:space="preserve">2. </w:t>
      </w:r>
      <w:r w:rsidR="002B32BD" w:rsidRPr="002B32BD">
        <w:rPr>
          <w:rFonts w:ascii="宋体" w:eastAsia="宋体" w:hAnsi="宋体" w:cs="宋体" w:hint="eastAsia"/>
        </w:rPr>
        <w:t>参考文件</w:t>
      </w:r>
    </w:p>
    <w:p w14:paraId="2C6A7E72" w14:textId="6096A1C1" w:rsidR="0026097E" w:rsidRDefault="00284695">
      <w:pPr>
        <w:spacing w:after="48" w:line="248" w:lineRule="auto"/>
        <w:ind w:left="185" w:hanging="10"/>
      </w:pPr>
      <w:r>
        <w:t>2</w:t>
      </w:r>
      <w:r w:rsidRPr="00EC1A52">
        <w:t xml:space="preserve">.1 ASTM </w:t>
      </w:r>
      <w:r w:rsidR="002B32BD" w:rsidRPr="00EC1A52">
        <w:rPr>
          <w:rFonts w:ascii="宋体" w:eastAsia="宋体" w:hAnsi="宋体" w:cs="宋体" w:hint="eastAsia"/>
        </w:rPr>
        <w:t>标准</w:t>
      </w:r>
      <w:r w:rsidRPr="00EC1A52">
        <w:t>:</w:t>
      </w:r>
      <w:r w:rsidRPr="00EC1A52">
        <w:rPr>
          <w:vertAlign w:val="superscript"/>
        </w:rPr>
        <w:footnoteReference w:id="1"/>
      </w:r>
    </w:p>
    <w:p w14:paraId="39F4BD73" w14:textId="77777777" w:rsidR="002B32BD" w:rsidRPr="00EC1A52" w:rsidRDefault="002B32BD" w:rsidP="002B32BD">
      <w:pPr>
        <w:rPr>
          <w:color w:val="0D0D0D" w:themeColor="text1" w:themeTint="F2"/>
        </w:rPr>
      </w:pPr>
      <w:r w:rsidRPr="00EC1A52">
        <w:rPr>
          <w:color w:val="0D0D0D" w:themeColor="text1" w:themeTint="F2"/>
        </w:rPr>
        <w:t>E1262</w:t>
      </w:r>
      <w:r w:rsidRPr="00EC1A52">
        <w:rPr>
          <w:rFonts w:ascii="宋体" w:eastAsia="宋体" w:hAnsi="宋体" w:cs="宋体" w:hint="eastAsia"/>
          <w:color w:val="0D0D0D" w:themeColor="text1" w:themeTint="F2"/>
        </w:rPr>
        <w:t>中国仓鼠卵巢细胞</w:t>
      </w:r>
      <w:r w:rsidRPr="00EC1A52">
        <w:rPr>
          <w:color w:val="0D0D0D" w:themeColor="text1" w:themeTint="F2"/>
        </w:rPr>
        <w:t>/</w:t>
      </w:r>
      <w:r w:rsidRPr="00EC1A52">
        <w:rPr>
          <w:rFonts w:ascii="宋体" w:eastAsia="宋体" w:hAnsi="宋体" w:cs="宋体" w:hint="eastAsia"/>
          <w:color w:val="0D0D0D" w:themeColor="text1" w:themeTint="F2"/>
        </w:rPr>
        <w:t>次黄嘌呤鸟嘌呤磷酸核糖基转移酶基因突变试验的性能指南</w:t>
      </w:r>
    </w:p>
    <w:p w14:paraId="79FE082C" w14:textId="2776A19F" w:rsidR="0026097E" w:rsidRPr="00EC1A52" w:rsidRDefault="002B32BD" w:rsidP="002B32BD">
      <w:pPr>
        <w:rPr>
          <w:color w:val="0D0D0D" w:themeColor="text1" w:themeTint="F2"/>
        </w:rPr>
        <w:sectPr w:rsidR="0026097E" w:rsidRPr="00EC1A52">
          <w:type w:val="continuous"/>
          <w:pgSz w:w="11674" w:h="15625"/>
          <w:pgMar w:top="1440" w:right="628" w:bottom="1440" w:left="629" w:header="720" w:footer="720" w:gutter="0"/>
          <w:cols w:num="2" w:space="359"/>
        </w:sectPr>
      </w:pPr>
      <w:r w:rsidRPr="00EC1A52">
        <w:rPr>
          <w:color w:val="0D0D0D" w:themeColor="text1" w:themeTint="F2"/>
        </w:rPr>
        <w:t>E3106</w:t>
      </w:r>
      <w:r w:rsidRPr="00EC1A52">
        <w:rPr>
          <w:rFonts w:ascii="宋体" w:eastAsia="宋体" w:hAnsi="宋体" w:cs="宋体" w:hint="eastAsia"/>
          <w:color w:val="0D0D0D" w:themeColor="text1" w:themeTint="F2"/>
        </w:rPr>
        <w:t>基于科学和基于风险的清洁指南工艺开发与验证</w:t>
      </w:r>
    </w:p>
    <w:p w14:paraId="22FC8731" w14:textId="48467103" w:rsidR="0026097E" w:rsidRPr="00EC1A52" w:rsidRDefault="002B32BD">
      <w:pPr>
        <w:rPr>
          <w:color w:val="0D0D0D" w:themeColor="text1" w:themeTint="F2"/>
        </w:rPr>
        <w:sectPr w:rsidR="0026097E" w:rsidRPr="00EC1A52">
          <w:type w:val="continuous"/>
          <w:pgSz w:w="11674" w:h="15625"/>
          <w:pgMar w:top="237" w:right="1539" w:bottom="753" w:left="6206" w:header="720" w:footer="720" w:gutter="0"/>
          <w:cols w:space="720"/>
        </w:sectPr>
      </w:pPr>
      <w:r w:rsidRPr="00EC1A52">
        <w:rPr>
          <w:color w:val="0D0D0D" w:themeColor="text1" w:themeTint="F2"/>
        </w:rPr>
        <w:t>F619</w:t>
      </w:r>
      <w:r w:rsidRPr="00EC1A52">
        <w:rPr>
          <w:rFonts w:ascii="宋体" w:eastAsia="宋体" w:hAnsi="宋体" w:cs="宋体" w:hint="eastAsia"/>
          <w:color w:val="0D0D0D" w:themeColor="text1" w:themeTint="F2"/>
        </w:rPr>
        <w:t>医用塑料的提取实践</w:t>
      </w:r>
    </w:p>
    <w:p w14:paraId="38AFD173" w14:textId="4C46EF68" w:rsidR="00EC1A52" w:rsidRPr="00EC1A52" w:rsidRDefault="00EC1A52" w:rsidP="00EC1A52">
      <w:pPr>
        <w:rPr>
          <w:color w:val="0D0D0D" w:themeColor="text1" w:themeTint="F2"/>
          <w:sz w:val="15"/>
        </w:rPr>
      </w:pPr>
      <w:r w:rsidRPr="00EC1A52">
        <w:rPr>
          <w:rFonts w:ascii="宋体" w:eastAsia="宋体" w:hAnsi="宋体" w:cs="宋体" w:hint="eastAsia"/>
          <w:color w:val="0D0D0D" w:themeColor="text1" w:themeTint="F2"/>
          <w:sz w:val="15"/>
          <w:vertAlign w:val="superscript"/>
        </w:rPr>
        <w:t>1</w:t>
      </w:r>
      <w:r w:rsidRPr="00EC1A52">
        <w:rPr>
          <w:rFonts w:ascii="宋体" w:eastAsia="宋体" w:hAnsi="宋体" w:cs="宋体" w:hint="eastAsia"/>
          <w:color w:val="0D0D0D" w:themeColor="text1" w:themeTint="F2"/>
          <w:sz w:val="15"/>
        </w:rPr>
        <w:t>本指南由</w:t>
      </w:r>
      <w:r w:rsidRPr="00EC1A52">
        <w:rPr>
          <w:color w:val="0D0D0D" w:themeColor="text1" w:themeTint="F2"/>
          <w:sz w:val="15"/>
        </w:rPr>
        <w:t>ASTM</w:t>
      </w:r>
      <w:r w:rsidRPr="00EC1A52">
        <w:rPr>
          <w:rFonts w:ascii="宋体" w:eastAsia="宋体" w:hAnsi="宋体" w:cs="宋体" w:hint="eastAsia"/>
          <w:color w:val="0D0D0D" w:themeColor="text1" w:themeTint="F2"/>
          <w:sz w:val="15"/>
        </w:rPr>
        <w:t>委员会</w:t>
      </w:r>
      <w:r w:rsidRPr="00EC1A52">
        <w:rPr>
          <w:color w:val="0D0D0D" w:themeColor="text1" w:themeTint="F2"/>
          <w:sz w:val="15"/>
        </w:rPr>
        <w:t>E55</w:t>
      </w:r>
      <w:r w:rsidRPr="00EC1A52">
        <w:rPr>
          <w:rFonts w:ascii="宋体" w:eastAsia="宋体" w:hAnsi="宋体" w:cs="宋体" w:hint="eastAsia"/>
          <w:color w:val="0D0D0D" w:themeColor="text1" w:themeTint="F2"/>
          <w:sz w:val="15"/>
        </w:rPr>
        <w:t>关于药品和生物药品制造的管辖，是</w:t>
      </w:r>
      <w:r w:rsidRPr="00EC1A52">
        <w:rPr>
          <w:color w:val="0D0D0D" w:themeColor="text1" w:themeTint="F2"/>
          <w:sz w:val="15"/>
        </w:rPr>
        <w:t>E55.03</w:t>
      </w:r>
      <w:r w:rsidRPr="00EC1A52">
        <w:rPr>
          <w:rFonts w:ascii="宋体" w:eastAsia="宋体" w:hAnsi="宋体" w:cs="宋体" w:hint="eastAsia"/>
          <w:color w:val="0D0D0D" w:themeColor="text1" w:themeTint="F2"/>
          <w:sz w:val="15"/>
        </w:rPr>
        <w:t>小组委员会对通用药品标准的直接责任。</w:t>
      </w:r>
    </w:p>
    <w:p w14:paraId="500521EA" w14:textId="4C02FF52" w:rsidR="0026097E" w:rsidRPr="00EC1A52" w:rsidRDefault="00EC1A52" w:rsidP="00EC1A52">
      <w:pPr>
        <w:rPr>
          <w:color w:val="0D0D0D" w:themeColor="text1" w:themeTint="F2"/>
        </w:rPr>
        <w:sectPr w:rsidR="0026097E" w:rsidRPr="00EC1A52">
          <w:type w:val="continuous"/>
          <w:pgSz w:w="11674" w:h="15625"/>
          <w:pgMar w:top="237" w:right="4380" w:bottom="753" w:left="629" w:header="720" w:footer="720" w:gutter="0"/>
          <w:cols w:space="720"/>
        </w:sectPr>
      </w:pPr>
      <w:r w:rsidRPr="00EC1A52">
        <w:rPr>
          <w:rFonts w:ascii="宋体" w:eastAsia="宋体" w:hAnsi="宋体" w:cs="宋体" w:hint="eastAsia"/>
          <w:color w:val="0D0D0D" w:themeColor="text1" w:themeTint="F2"/>
          <w:sz w:val="15"/>
        </w:rPr>
        <w:t>当前版本于</w:t>
      </w:r>
      <w:r w:rsidRPr="00EC1A52">
        <w:rPr>
          <w:color w:val="0D0D0D" w:themeColor="text1" w:themeTint="F2"/>
          <w:sz w:val="15"/>
        </w:rPr>
        <w:t>2020</w:t>
      </w:r>
      <w:r w:rsidRPr="00EC1A52">
        <w:rPr>
          <w:rFonts w:ascii="宋体" w:eastAsia="宋体" w:hAnsi="宋体" w:cs="宋体" w:hint="eastAsia"/>
          <w:color w:val="0D0D0D" w:themeColor="text1" w:themeTint="F2"/>
          <w:sz w:val="15"/>
        </w:rPr>
        <w:t>年</w:t>
      </w:r>
      <w:r w:rsidRPr="00EC1A52">
        <w:rPr>
          <w:color w:val="0D0D0D" w:themeColor="text1" w:themeTint="F2"/>
          <w:sz w:val="15"/>
        </w:rPr>
        <w:t>2</w:t>
      </w:r>
      <w:r w:rsidRPr="00EC1A52">
        <w:rPr>
          <w:rFonts w:ascii="宋体" w:eastAsia="宋体" w:hAnsi="宋体" w:cs="宋体" w:hint="eastAsia"/>
          <w:color w:val="0D0D0D" w:themeColor="text1" w:themeTint="F2"/>
          <w:sz w:val="15"/>
        </w:rPr>
        <w:t>月</w:t>
      </w:r>
      <w:r w:rsidRPr="00EC1A52">
        <w:rPr>
          <w:color w:val="0D0D0D" w:themeColor="text1" w:themeTint="F2"/>
          <w:sz w:val="15"/>
        </w:rPr>
        <w:t>1</w:t>
      </w:r>
      <w:r w:rsidRPr="00EC1A52">
        <w:rPr>
          <w:rFonts w:ascii="宋体" w:eastAsia="宋体" w:hAnsi="宋体" w:cs="宋体" w:hint="eastAsia"/>
          <w:color w:val="0D0D0D" w:themeColor="text1" w:themeTint="F2"/>
          <w:sz w:val="15"/>
        </w:rPr>
        <w:t>日批准。于</w:t>
      </w:r>
      <w:r w:rsidRPr="00EC1A52">
        <w:rPr>
          <w:color w:val="0D0D0D" w:themeColor="text1" w:themeTint="F2"/>
          <w:sz w:val="15"/>
        </w:rPr>
        <w:t>2020</w:t>
      </w:r>
      <w:r w:rsidRPr="00EC1A52">
        <w:rPr>
          <w:rFonts w:ascii="宋体" w:eastAsia="宋体" w:hAnsi="宋体" w:cs="宋体" w:hint="eastAsia"/>
          <w:color w:val="0D0D0D" w:themeColor="text1" w:themeTint="F2"/>
          <w:sz w:val="15"/>
        </w:rPr>
        <w:t>年</w:t>
      </w:r>
      <w:r w:rsidRPr="00EC1A52">
        <w:rPr>
          <w:color w:val="0D0D0D" w:themeColor="text1" w:themeTint="F2"/>
          <w:sz w:val="15"/>
        </w:rPr>
        <w:t>4</w:t>
      </w:r>
      <w:r w:rsidRPr="00EC1A52">
        <w:rPr>
          <w:rFonts w:ascii="宋体" w:eastAsia="宋体" w:hAnsi="宋体" w:cs="宋体" w:hint="eastAsia"/>
          <w:color w:val="0D0D0D" w:themeColor="text1" w:themeTint="F2"/>
          <w:sz w:val="15"/>
        </w:rPr>
        <w:t>月发布。</w:t>
      </w:r>
      <w:r w:rsidRPr="00EC1A52">
        <w:rPr>
          <w:color w:val="0D0D0D" w:themeColor="text1" w:themeTint="F2"/>
          <w:sz w:val="15"/>
        </w:rPr>
        <w:t>DOI</w:t>
      </w:r>
      <w:r w:rsidRPr="00EC1A52">
        <w:rPr>
          <w:rFonts w:ascii="宋体" w:eastAsia="宋体" w:hAnsi="宋体" w:cs="宋体" w:hint="eastAsia"/>
          <w:color w:val="0D0D0D" w:themeColor="text1" w:themeTint="F2"/>
          <w:sz w:val="15"/>
        </w:rPr>
        <w:t>：</w:t>
      </w:r>
      <w:r w:rsidRPr="00EC1A52">
        <w:rPr>
          <w:color w:val="0D0D0D" w:themeColor="text1" w:themeTint="F2"/>
          <w:sz w:val="15"/>
        </w:rPr>
        <w:t>10.1520 / E3219-20</w:t>
      </w:r>
      <w:r w:rsidRPr="00EC1A52">
        <w:rPr>
          <w:rFonts w:ascii="宋体" w:eastAsia="宋体" w:hAnsi="宋体" w:cs="宋体" w:hint="eastAsia"/>
          <w:color w:val="0D0D0D" w:themeColor="text1" w:themeTint="F2"/>
          <w:sz w:val="15"/>
        </w:rPr>
        <w:t>。</w:t>
      </w:r>
    </w:p>
    <w:p w14:paraId="469E096C" w14:textId="77777777" w:rsidR="002B32BD" w:rsidRPr="00EC1A52" w:rsidRDefault="002B32BD" w:rsidP="002B32BD">
      <w:pPr>
        <w:spacing w:after="16"/>
        <w:ind w:left="375" w:hanging="200"/>
        <w:rPr>
          <w:color w:val="0D0D0D" w:themeColor="text1" w:themeTint="F2"/>
        </w:rPr>
      </w:pPr>
      <w:r w:rsidRPr="00EC1A52">
        <w:rPr>
          <w:color w:val="0D0D0D" w:themeColor="text1" w:themeTint="F2"/>
        </w:rPr>
        <w:t>F719</w:t>
      </w:r>
      <w:r w:rsidRPr="00EC1A52">
        <w:rPr>
          <w:rFonts w:ascii="宋体" w:eastAsia="宋体" w:hAnsi="宋体" w:cs="宋体" w:hint="eastAsia"/>
          <w:color w:val="0D0D0D" w:themeColor="text1" w:themeTint="F2"/>
        </w:rPr>
        <w:t>测试兔子原发性皮肤刺激性生物材料的实践</w:t>
      </w:r>
    </w:p>
    <w:p w14:paraId="37DC606F" w14:textId="77777777" w:rsidR="002B32BD" w:rsidRPr="00EC1A52" w:rsidRDefault="002B32BD" w:rsidP="002B32BD">
      <w:pPr>
        <w:spacing w:after="16"/>
        <w:ind w:left="375" w:hanging="200"/>
        <w:rPr>
          <w:color w:val="0D0D0D" w:themeColor="text1" w:themeTint="F2"/>
        </w:rPr>
      </w:pPr>
      <w:r w:rsidRPr="00EC1A52">
        <w:rPr>
          <w:color w:val="0D0D0D" w:themeColor="text1" w:themeTint="F2"/>
        </w:rPr>
        <w:t>F748</w:t>
      </w:r>
      <w:r w:rsidRPr="00EC1A52">
        <w:rPr>
          <w:rFonts w:ascii="宋体" w:eastAsia="宋体" w:hAnsi="宋体" w:cs="宋体" w:hint="eastAsia"/>
          <w:color w:val="0D0D0D" w:themeColor="text1" w:themeTint="F2"/>
        </w:rPr>
        <w:t>选择材料和设备通用生物测试方法的实践</w:t>
      </w:r>
    </w:p>
    <w:p w14:paraId="1C6C40E4" w14:textId="77777777" w:rsidR="002B32BD" w:rsidRPr="00EC1A52" w:rsidRDefault="002B32BD" w:rsidP="002B32BD">
      <w:pPr>
        <w:spacing w:after="16"/>
        <w:ind w:left="375" w:hanging="200"/>
        <w:rPr>
          <w:color w:val="0D0D0D" w:themeColor="text1" w:themeTint="F2"/>
        </w:rPr>
      </w:pPr>
      <w:r w:rsidRPr="00EC1A52">
        <w:rPr>
          <w:color w:val="0D0D0D" w:themeColor="text1" w:themeTint="F2"/>
        </w:rPr>
        <w:t>F750</w:t>
      </w:r>
      <w:r w:rsidRPr="00EC1A52">
        <w:rPr>
          <w:rFonts w:ascii="宋体" w:eastAsia="宋体" w:hAnsi="宋体" w:cs="宋体" w:hint="eastAsia"/>
          <w:color w:val="0D0D0D" w:themeColor="text1" w:themeTint="F2"/>
        </w:rPr>
        <w:t>通过小鼠全身注射评估材料提取物的实践</w:t>
      </w:r>
    </w:p>
    <w:p w14:paraId="00023802" w14:textId="77777777" w:rsidR="002B32BD" w:rsidRPr="00EC1A52" w:rsidRDefault="002B32BD" w:rsidP="002B32BD">
      <w:pPr>
        <w:spacing w:after="16"/>
        <w:ind w:left="375" w:hanging="200"/>
        <w:rPr>
          <w:color w:val="0D0D0D" w:themeColor="text1" w:themeTint="F2"/>
        </w:rPr>
      </w:pPr>
      <w:r w:rsidRPr="00EC1A52">
        <w:rPr>
          <w:color w:val="0D0D0D" w:themeColor="text1" w:themeTint="F2"/>
        </w:rPr>
        <w:t>F756</w:t>
      </w:r>
      <w:r w:rsidRPr="00EC1A52">
        <w:rPr>
          <w:rFonts w:ascii="宋体" w:eastAsia="宋体" w:hAnsi="宋体" w:cs="宋体" w:hint="eastAsia"/>
          <w:color w:val="0D0D0D" w:themeColor="text1" w:themeTint="F2"/>
        </w:rPr>
        <w:t>评估材料溶血特性的实践</w:t>
      </w:r>
    </w:p>
    <w:p w14:paraId="702B5BA5" w14:textId="77777777" w:rsidR="002B32BD" w:rsidRPr="00EC1A52" w:rsidRDefault="002B32BD" w:rsidP="002B32BD">
      <w:pPr>
        <w:spacing w:after="16"/>
        <w:ind w:left="375" w:hanging="200"/>
        <w:rPr>
          <w:color w:val="0D0D0D" w:themeColor="text1" w:themeTint="F2"/>
        </w:rPr>
      </w:pPr>
      <w:r w:rsidRPr="00EC1A52">
        <w:rPr>
          <w:color w:val="0D0D0D" w:themeColor="text1" w:themeTint="F2"/>
        </w:rPr>
        <w:t>F763</w:t>
      </w:r>
      <w:r w:rsidRPr="00EC1A52">
        <w:rPr>
          <w:rFonts w:ascii="宋体" w:eastAsia="宋体" w:hAnsi="宋体" w:cs="宋体" w:hint="eastAsia"/>
          <w:color w:val="0D0D0D" w:themeColor="text1" w:themeTint="F2"/>
        </w:rPr>
        <w:t>植入物材料短期筛选规范</w:t>
      </w:r>
    </w:p>
    <w:p w14:paraId="4A67CE9D" w14:textId="77777777" w:rsidR="002B32BD" w:rsidRPr="00EC1A52" w:rsidRDefault="002B32BD" w:rsidP="002B32BD">
      <w:pPr>
        <w:spacing w:after="16"/>
        <w:ind w:left="375" w:hanging="200"/>
        <w:rPr>
          <w:color w:val="0D0D0D" w:themeColor="text1" w:themeTint="F2"/>
        </w:rPr>
      </w:pPr>
      <w:r w:rsidRPr="00EC1A52">
        <w:rPr>
          <w:color w:val="0D0D0D" w:themeColor="text1" w:themeTint="F2"/>
        </w:rPr>
        <w:t>F813</w:t>
      </w:r>
      <w:r w:rsidRPr="00EC1A52">
        <w:rPr>
          <w:rFonts w:ascii="宋体" w:eastAsia="宋体" w:hAnsi="宋体" w:cs="宋体" w:hint="eastAsia"/>
          <w:color w:val="0D0D0D" w:themeColor="text1" w:themeTint="F2"/>
        </w:rPr>
        <w:t>医疗器械材料直接接触细胞培养评估的实践</w:t>
      </w:r>
    </w:p>
    <w:p w14:paraId="0B6E469D" w14:textId="77777777" w:rsidR="002B32BD" w:rsidRPr="00EC1A52" w:rsidRDefault="002B32BD" w:rsidP="002B32BD">
      <w:pPr>
        <w:spacing w:after="16"/>
        <w:ind w:left="375" w:hanging="200"/>
        <w:rPr>
          <w:color w:val="0D0D0D" w:themeColor="text1" w:themeTint="F2"/>
        </w:rPr>
      </w:pPr>
      <w:r w:rsidRPr="00EC1A52">
        <w:rPr>
          <w:rFonts w:ascii="宋体" w:eastAsia="宋体" w:hAnsi="宋体" w:cs="宋体" w:hint="eastAsia"/>
          <w:color w:val="0D0D0D" w:themeColor="text1" w:themeTint="F2"/>
        </w:rPr>
        <w:t>琼脂扩散细胞培养物细胞毒性筛选的</w:t>
      </w:r>
      <w:r w:rsidRPr="00EC1A52">
        <w:rPr>
          <w:color w:val="0D0D0D" w:themeColor="text1" w:themeTint="F2"/>
        </w:rPr>
        <w:t>F895</w:t>
      </w:r>
      <w:r w:rsidRPr="00EC1A52">
        <w:rPr>
          <w:rFonts w:ascii="宋体" w:eastAsia="宋体" w:hAnsi="宋体" w:cs="宋体" w:hint="eastAsia"/>
          <w:color w:val="0D0D0D" w:themeColor="text1" w:themeTint="F2"/>
        </w:rPr>
        <w:t>测试方法</w:t>
      </w:r>
    </w:p>
    <w:p w14:paraId="196D188F" w14:textId="77777777" w:rsidR="002B32BD" w:rsidRPr="00EC1A52" w:rsidRDefault="002B32BD" w:rsidP="002B32BD">
      <w:pPr>
        <w:spacing w:after="16"/>
        <w:ind w:left="375" w:hanging="200"/>
        <w:rPr>
          <w:rFonts w:ascii="宋体" w:eastAsia="宋体" w:hAnsi="宋体" w:cs="宋体"/>
          <w:color w:val="0D0D0D" w:themeColor="text1" w:themeTint="F2"/>
        </w:rPr>
      </w:pPr>
      <w:r w:rsidRPr="00EC1A52">
        <w:rPr>
          <w:color w:val="0D0D0D" w:themeColor="text1" w:themeTint="F2"/>
        </w:rPr>
        <w:t>F981</w:t>
      </w:r>
      <w:r w:rsidRPr="00EC1A52">
        <w:rPr>
          <w:rFonts w:ascii="宋体" w:eastAsia="宋体" w:hAnsi="宋体" w:cs="宋体" w:hint="eastAsia"/>
          <w:color w:val="0D0D0D" w:themeColor="text1" w:themeTint="F2"/>
        </w:rPr>
        <w:t>关于材料对肌肉和</w:t>
      </w:r>
      <w:proofErr w:type="gramStart"/>
      <w:r w:rsidRPr="00EC1A52">
        <w:rPr>
          <w:rFonts w:ascii="宋体" w:eastAsia="宋体" w:hAnsi="宋体" w:cs="宋体" w:hint="eastAsia"/>
          <w:color w:val="0D0D0D" w:themeColor="text1" w:themeTint="F2"/>
        </w:rPr>
        <w:t>骨插入</w:t>
      </w:r>
      <w:proofErr w:type="gramEnd"/>
      <w:r w:rsidRPr="00EC1A52">
        <w:rPr>
          <w:rFonts w:ascii="宋体" w:eastAsia="宋体" w:hAnsi="宋体" w:cs="宋体" w:hint="eastAsia"/>
          <w:color w:val="0D0D0D" w:themeColor="text1" w:themeTint="F2"/>
        </w:rPr>
        <w:t>的影响的外科植入物生物材料相容性评估实践</w:t>
      </w:r>
    </w:p>
    <w:p w14:paraId="6B6B6831" w14:textId="77777777" w:rsidR="002B32BD" w:rsidRPr="00EC1A52" w:rsidRDefault="002B32BD" w:rsidP="002B32BD">
      <w:pPr>
        <w:spacing w:after="43"/>
        <w:ind w:left="375" w:hanging="200"/>
        <w:rPr>
          <w:color w:val="0D0D0D" w:themeColor="text1" w:themeTint="F2"/>
        </w:rPr>
      </w:pPr>
      <w:r w:rsidRPr="00EC1A52">
        <w:rPr>
          <w:color w:val="0D0D0D" w:themeColor="text1" w:themeTint="F2"/>
        </w:rPr>
        <w:t>F1408</w:t>
      </w:r>
      <w:r w:rsidRPr="00EC1A52">
        <w:rPr>
          <w:rFonts w:ascii="宋体" w:eastAsia="宋体" w:hAnsi="宋体" w:cs="宋体" w:hint="eastAsia"/>
          <w:color w:val="0D0D0D" w:themeColor="text1" w:themeTint="F2"/>
        </w:rPr>
        <w:t>植入物材料的皮下筛选测试实践</w:t>
      </w:r>
    </w:p>
    <w:p w14:paraId="12890675" w14:textId="77777777" w:rsidR="002B32BD" w:rsidRPr="00EC1A52" w:rsidRDefault="002B32BD" w:rsidP="002B32BD">
      <w:pPr>
        <w:spacing w:after="43"/>
        <w:ind w:left="375" w:hanging="200"/>
        <w:rPr>
          <w:color w:val="0D0D0D" w:themeColor="text1" w:themeTint="F2"/>
        </w:rPr>
      </w:pPr>
      <w:r w:rsidRPr="00EC1A52">
        <w:rPr>
          <w:color w:val="0D0D0D" w:themeColor="text1" w:themeTint="F2"/>
        </w:rPr>
        <w:t>F1439</w:t>
      </w:r>
      <w:r w:rsidRPr="00EC1A52">
        <w:rPr>
          <w:rFonts w:ascii="宋体" w:eastAsia="宋体" w:hAnsi="宋体" w:cs="宋体" w:hint="eastAsia"/>
          <w:color w:val="0D0D0D" w:themeColor="text1" w:themeTint="F2"/>
        </w:rPr>
        <w:t>植入物材料致</w:t>
      </w:r>
      <w:proofErr w:type="gramStart"/>
      <w:r w:rsidRPr="00EC1A52">
        <w:rPr>
          <w:rFonts w:ascii="宋体" w:eastAsia="宋体" w:hAnsi="宋体" w:cs="宋体" w:hint="eastAsia"/>
          <w:color w:val="0D0D0D" w:themeColor="text1" w:themeTint="F2"/>
        </w:rPr>
        <w:t>瘤潜力</w:t>
      </w:r>
      <w:proofErr w:type="gramEnd"/>
      <w:r w:rsidRPr="00EC1A52">
        <w:rPr>
          <w:rFonts w:ascii="宋体" w:eastAsia="宋体" w:hAnsi="宋体" w:cs="宋体" w:hint="eastAsia"/>
          <w:color w:val="0D0D0D" w:themeColor="text1" w:themeTint="F2"/>
        </w:rPr>
        <w:t>的终生生物测定性能指南</w:t>
      </w:r>
    </w:p>
    <w:p w14:paraId="2DC96449" w14:textId="77777777" w:rsidR="002B32BD" w:rsidRPr="00EC1A52" w:rsidRDefault="002B32BD" w:rsidP="002B32BD">
      <w:pPr>
        <w:spacing w:after="43"/>
        <w:ind w:left="375" w:hanging="200"/>
        <w:rPr>
          <w:color w:val="0D0D0D" w:themeColor="text1" w:themeTint="F2"/>
        </w:rPr>
      </w:pPr>
      <w:r w:rsidRPr="00EC1A52">
        <w:rPr>
          <w:color w:val="0D0D0D" w:themeColor="text1" w:themeTint="F2"/>
        </w:rPr>
        <w:t>F1903</w:t>
      </w:r>
      <w:r w:rsidRPr="00EC1A52">
        <w:rPr>
          <w:rFonts w:ascii="宋体" w:eastAsia="宋体" w:hAnsi="宋体" w:cs="宋体" w:hint="eastAsia"/>
          <w:color w:val="0D0D0D" w:themeColor="text1" w:themeTint="F2"/>
        </w:rPr>
        <w:t>体外测试细胞对颗粒的反应的实践</w:t>
      </w:r>
    </w:p>
    <w:p w14:paraId="22191DB0" w14:textId="77777777" w:rsidR="002B32BD" w:rsidRPr="00EC1A52" w:rsidRDefault="002B32BD" w:rsidP="002B32BD">
      <w:pPr>
        <w:spacing w:after="43"/>
        <w:ind w:left="375" w:hanging="200"/>
        <w:rPr>
          <w:color w:val="0D0D0D" w:themeColor="text1" w:themeTint="F2"/>
        </w:rPr>
      </w:pPr>
      <w:r w:rsidRPr="00EC1A52">
        <w:rPr>
          <w:color w:val="0D0D0D" w:themeColor="text1" w:themeTint="F2"/>
        </w:rPr>
        <w:t>F1983</w:t>
      </w:r>
      <w:r w:rsidRPr="00EC1A52">
        <w:rPr>
          <w:rFonts w:ascii="宋体" w:eastAsia="宋体" w:hAnsi="宋体" w:cs="宋体" w:hint="eastAsia"/>
          <w:color w:val="0D0D0D" w:themeColor="text1" w:themeTint="F2"/>
        </w:rPr>
        <w:t>评估用于植入应用的可吸收生物材料的选定组织效应的实践</w:t>
      </w:r>
    </w:p>
    <w:p w14:paraId="3894A242" w14:textId="77777777" w:rsidR="002B32BD" w:rsidRPr="002B32BD" w:rsidRDefault="002B32BD" w:rsidP="002B32BD">
      <w:pPr>
        <w:spacing w:after="43"/>
        <w:ind w:left="375" w:hanging="200"/>
        <w:rPr>
          <w:color w:val="C1151A"/>
        </w:rPr>
      </w:pPr>
      <w:r w:rsidRPr="002B32BD">
        <w:rPr>
          <w:color w:val="C1151A"/>
        </w:rPr>
        <w:t>F2382</w:t>
      </w:r>
      <w:r w:rsidRPr="002B32BD">
        <w:rPr>
          <w:rFonts w:ascii="宋体" w:eastAsia="宋体" w:hAnsi="宋体" w:cs="宋体" w:hint="eastAsia"/>
          <w:color w:val="C1151A"/>
        </w:rPr>
        <w:t>在部分凝血活酶时间（</w:t>
      </w:r>
      <w:r w:rsidRPr="002B32BD">
        <w:rPr>
          <w:color w:val="C1151A"/>
        </w:rPr>
        <w:t>PTT</w:t>
      </w:r>
      <w:r w:rsidRPr="002B32BD">
        <w:rPr>
          <w:rFonts w:ascii="宋体" w:eastAsia="宋体" w:hAnsi="宋体" w:cs="宋体" w:hint="eastAsia"/>
          <w:color w:val="C1151A"/>
        </w:rPr>
        <w:t>）上评估循环血液接触医疗器械材料的测试方法</w:t>
      </w:r>
    </w:p>
    <w:p w14:paraId="39219618" w14:textId="77777777" w:rsidR="002B32BD" w:rsidRPr="002B32BD" w:rsidRDefault="002B32BD" w:rsidP="002B32BD">
      <w:pPr>
        <w:spacing w:after="43"/>
        <w:ind w:left="375" w:hanging="200"/>
        <w:rPr>
          <w:color w:val="C1151A"/>
        </w:rPr>
      </w:pPr>
      <w:r w:rsidRPr="002B32BD">
        <w:rPr>
          <w:color w:val="C1151A"/>
        </w:rPr>
        <w:t>F2808</w:t>
      </w:r>
      <w:r w:rsidRPr="002B32BD">
        <w:rPr>
          <w:rFonts w:ascii="宋体" w:eastAsia="宋体" w:hAnsi="宋体" w:cs="宋体" w:hint="eastAsia"/>
          <w:color w:val="C1151A"/>
        </w:rPr>
        <w:t>进行膝后（</w:t>
      </w:r>
      <w:r w:rsidRPr="002B32BD">
        <w:rPr>
          <w:color w:val="C1151A"/>
        </w:rPr>
        <w:t>BTK</w:t>
      </w:r>
      <w:r w:rsidRPr="002B32BD">
        <w:rPr>
          <w:rFonts w:ascii="宋体" w:eastAsia="宋体" w:hAnsi="宋体" w:cs="宋体" w:hint="eastAsia"/>
          <w:color w:val="C1151A"/>
        </w:rPr>
        <w:t>）测试的测试方法，以评估皮肤对反复或长期接触皮肤的产品和材料的刺激性</w:t>
      </w:r>
    </w:p>
    <w:p w14:paraId="5887E192" w14:textId="77777777" w:rsidR="002B32BD" w:rsidRPr="002B32BD" w:rsidRDefault="002B32BD" w:rsidP="002B32BD">
      <w:pPr>
        <w:spacing w:after="43"/>
        <w:ind w:left="375" w:hanging="200"/>
        <w:rPr>
          <w:color w:val="C1151A"/>
        </w:rPr>
      </w:pPr>
      <w:r w:rsidRPr="002B32BD">
        <w:rPr>
          <w:color w:val="C1151A"/>
        </w:rPr>
        <w:lastRenderedPageBreak/>
        <w:t>F2888</w:t>
      </w:r>
      <w:r w:rsidRPr="002B32BD">
        <w:rPr>
          <w:rFonts w:ascii="宋体" w:eastAsia="宋体" w:hAnsi="宋体" w:cs="宋体" w:hint="eastAsia"/>
          <w:color w:val="C1151A"/>
        </w:rPr>
        <w:t>血小板白细胞计数实践</w:t>
      </w:r>
      <w:r w:rsidRPr="002B32BD">
        <w:rPr>
          <w:color w:val="C1151A"/>
        </w:rPr>
        <w:t>—</w:t>
      </w:r>
      <w:r w:rsidRPr="002B32BD">
        <w:rPr>
          <w:rFonts w:ascii="宋体" w:eastAsia="宋体" w:hAnsi="宋体" w:cs="宋体" w:hint="eastAsia"/>
          <w:color w:val="C1151A"/>
        </w:rPr>
        <w:t>心血管材料血液相容性评估的体外方法</w:t>
      </w:r>
    </w:p>
    <w:p w14:paraId="6FE5897C" w14:textId="77777777" w:rsidR="002B32BD" w:rsidRPr="002B32BD" w:rsidRDefault="002B32BD" w:rsidP="002B32BD">
      <w:pPr>
        <w:spacing w:after="43"/>
        <w:ind w:left="375" w:hanging="200"/>
        <w:rPr>
          <w:color w:val="C1151A"/>
        </w:rPr>
      </w:pPr>
      <w:r w:rsidRPr="002B32BD">
        <w:rPr>
          <w:color w:val="C1151A"/>
        </w:rPr>
        <w:t>F2901</w:t>
      </w:r>
      <w:r w:rsidRPr="002B32BD">
        <w:rPr>
          <w:rFonts w:ascii="宋体" w:eastAsia="宋体" w:hAnsi="宋体" w:cs="宋体" w:hint="eastAsia"/>
          <w:color w:val="C1151A"/>
        </w:rPr>
        <w:t>选择测试以评估医疗设备潜在神经毒性的指南</w:t>
      </w:r>
    </w:p>
    <w:p w14:paraId="239C3241" w14:textId="53D84605" w:rsidR="0026097E" w:rsidRDefault="002B32BD" w:rsidP="002B32BD">
      <w:pPr>
        <w:spacing w:after="43"/>
        <w:ind w:left="375" w:hanging="200"/>
      </w:pPr>
      <w:r w:rsidRPr="002B32BD">
        <w:rPr>
          <w:color w:val="C1151A"/>
        </w:rPr>
        <w:t>F3127</w:t>
      </w:r>
      <w:r w:rsidRPr="002B32BD">
        <w:rPr>
          <w:rFonts w:ascii="宋体" w:eastAsia="宋体" w:hAnsi="宋体" w:cs="宋体" w:hint="eastAsia"/>
          <w:color w:val="C1151A"/>
        </w:rPr>
        <w:t>验证在医疗器械制造过程中使用的清洁工艺的指南</w:t>
      </w:r>
    </w:p>
    <w:p w14:paraId="3A40A3DB" w14:textId="2CD3DA84" w:rsidR="0026097E" w:rsidRPr="00EC1A52" w:rsidRDefault="00284695">
      <w:pPr>
        <w:spacing w:after="48" w:line="248" w:lineRule="auto"/>
        <w:ind w:left="185" w:hanging="10"/>
      </w:pPr>
      <w:r w:rsidRPr="00EC1A52">
        <w:t>2.2 ISO</w:t>
      </w:r>
      <w:r w:rsidR="002B32BD" w:rsidRPr="00EC1A52">
        <w:rPr>
          <w:rFonts w:ascii="宋体" w:eastAsia="宋体" w:hAnsi="宋体" w:cs="宋体" w:hint="eastAsia"/>
        </w:rPr>
        <w:t>标准</w:t>
      </w:r>
      <w:r w:rsidRPr="00EC1A52">
        <w:t>:</w:t>
      </w:r>
      <w:r w:rsidRPr="00EC1A52">
        <w:rPr>
          <w:vertAlign w:val="superscript"/>
        </w:rPr>
        <w:footnoteReference w:id="2"/>
      </w:r>
    </w:p>
    <w:p w14:paraId="588BB196" w14:textId="77777777" w:rsidR="002B32BD" w:rsidRPr="002B32BD" w:rsidRDefault="002B32BD" w:rsidP="002B32BD">
      <w:pPr>
        <w:spacing w:after="48" w:line="248" w:lineRule="auto"/>
        <w:ind w:left="185" w:hanging="10"/>
        <w:rPr>
          <w:color w:val="C1151A"/>
        </w:rPr>
      </w:pPr>
      <w:r w:rsidRPr="002B32BD">
        <w:rPr>
          <w:color w:val="C1151A"/>
        </w:rPr>
        <w:t>ISO 10993-1</w:t>
      </w:r>
      <w:r w:rsidRPr="002B32BD">
        <w:rPr>
          <w:rFonts w:ascii="宋体" w:eastAsia="宋体" w:hAnsi="宋体" w:cs="宋体" w:hint="eastAsia"/>
          <w:color w:val="C1151A"/>
        </w:rPr>
        <w:t>医疗器械的生物评估</w:t>
      </w:r>
      <w:r w:rsidRPr="002B32BD">
        <w:rPr>
          <w:color w:val="C1151A"/>
        </w:rPr>
        <w:t>-</w:t>
      </w:r>
      <w:r w:rsidRPr="002B32BD">
        <w:rPr>
          <w:rFonts w:ascii="宋体" w:eastAsia="宋体" w:hAnsi="宋体" w:cs="宋体" w:hint="eastAsia"/>
          <w:color w:val="C1151A"/>
        </w:rPr>
        <w:t>第</w:t>
      </w:r>
      <w:r w:rsidRPr="002B32BD">
        <w:rPr>
          <w:color w:val="C1151A"/>
        </w:rPr>
        <w:t>1</w:t>
      </w:r>
      <w:r w:rsidRPr="002B32BD">
        <w:rPr>
          <w:rFonts w:ascii="宋体" w:eastAsia="宋体" w:hAnsi="宋体" w:cs="宋体" w:hint="eastAsia"/>
          <w:color w:val="C1151A"/>
        </w:rPr>
        <w:t>部分：风险管理过程中的评估和测试</w:t>
      </w:r>
    </w:p>
    <w:p w14:paraId="0228ADB3" w14:textId="77777777" w:rsidR="002B32BD" w:rsidRPr="002B32BD" w:rsidRDefault="002B32BD" w:rsidP="002B32BD">
      <w:pPr>
        <w:spacing w:after="48" w:line="248" w:lineRule="auto"/>
        <w:ind w:left="185" w:hanging="10"/>
        <w:rPr>
          <w:color w:val="C1151A"/>
        </w:rPr>
      </w:pPr>
      <w:r w:rsidRPr="002B32BD">
        <w:rPr>
          <w:color w:val="C1151A"/>
        </w:rPr>
        <w:t>ISO 10993-4</w:t>
      </w:r>
      <w:r w:rsidRPr="002B32BD">
        <w:rPr>
          <w:rFonts w:ascii="宋体" w:eastAsia="宋体" w:hAnsi="宋体" w:cs="宋体" w:hint="eastAsia"/>
          <w:color w:val="C1151A"/>
        </w:rPr>
        <w:t>医疗器械的生物学评估</w:t>
      </w:r>
      <w:r w:rsidRPr="002B32BD">
        <w:rPr>
          <w:color w:val="C1151A"/>
        </w:rPr>
        <w:t>–</w:t>
      </w:r>
      <w:r w:rsidRPr="002B32BD">
        <w:rPr>
          <w:rFonts w:ascii="宋体" w:eastAsia="宋体" w:hAnsi="宋体" w:cs="宋体" w:hint="eastAsia"/>
          <w:color w:val="C1151A"/>
        </w:rPr>
        <w:t>第</w:t>
      </w:r>
      <w:r w:rsidRPr="002B32BD">
        <w:rPr>
          <w:color w:val="C1151A"/>
        </w:rPr>
        <w:t>4</w:t>
      </w:r>
      <w:r w:rsidRPr="002B32BD">
        <w:rPr>
          <w:rFonts w:ascii="宋体" w:eastAsia="宋体" w:hAnsi="宋体" w:cs="宋体" w:hint="eastAsia"/>
          <w:color w:val="C1151A"/>
        </w:rPr>
        <w:t>部分：与血液相互作用的测试选择</w:t>
      </w:r>
    </w:p>
    <w:p w14:paraId="6D9C5636" w14:textId="77777777" w:rsidR="002B32BD" w:rsidRPr="002B32BD" w:rsidRDefault="002B32BD" w:rsidP="002B32BD">
      <w:pPr>
        <w:spacing w:after="48" w:line="248" w:lineRule="auto"/>
        <w:ind w:left="185" w:hanging="10"/>
        <w:rPr>
          <w:color w:val="C1151A"/>
        </w:rPr>
      </w:pPr>
      <w:r w:rsidRPr="002B32BD">
        <w:rPr>
          <w:color w:val="C1151A"/>
        </w:rPr>
        <w:t>ISO 10993-6</w:t>
      </w:r>
      <w:r w:rsidRPr="002B32BD">
        <w:rPr>
          <w:rFonts w:ascii="宋体" w:eastAsia="宋体" w:hAnsi="宋体" w:cs="宋体" w:hint="eastAsia"/>
          <w:color w:val="C1151A"/>
        </w:rPr>
        <w:t>医疗器械的生物学评估</w:t>
      </w:r>
      <w:r w:rsidRPr="002B32BD">
        <w:rPr>
          <w:color w:val="C1151A"/>
        </w:rPr>
        <w:t>–</w:t>
      </w:r>
      <w:r w:rsidRPr="002B32BD">
        <w:rPr>
          <w:rFonts w:ascii="宋体" w:eastAsia="宋体" w:hAnsi="宋体" w:cs="宋体" w:hint="eastAsia"/>
          <w:color w:val="C1151A"/>
        </w:rPr>
        <w:t>第</w:t>
      </w:r>
      <w:r w:rsidRPr="002B32BD">
        <w:rPr>
          <w:color w:val="C1151A"/>
        </w:rPr>
        <w:t>6</w:t>
      </w:r>
      <w:r w:rsidRPr="002B32BD">
        <w:rPr>
          <w:rFonts w:ascii="宋体" w:eastAsia="宋体" w:hAnsi="宋体" w:cs="宋体" w:hint="eastAsia"/>
          <w:color w:val="C1151A"/>
        </w:rPr>
        <w:t>部分：植入后局部作用的测试</w:t>
      </w:r>
    </w:p>
    <w:p w14:paraId="21A43993" w14:textId="77777777" w:rsidR="002B32BD" w:rsidRPr="002B32BD" w:rsidRDefault="002B32BD" w:rsidP="002B32BD">
      <w:pPr>
        <w:spacing w:after="48" w:line="248" w:lineRule="auto"/>
        <w:ind w:left="185" w:hanging="10"/>
        <w:rPr>
          <w:color w:val="C1151A"/>
        </w:rPr>
      </w:pPr>
      <w:r w:rsidRPr="002B32BD">
        <w:rPr>
          <w:color w:val="C1151A"/>
        </w:rPr>
        <w:t>ISO 10993-10</w:t>
      </w:r>
      <w:r w:rsidRPr="002B32BD">
        <w:rPr>
          <w:rFonts w:ascii="宋体" w:eastAsia="宋体" w:hAnsi="宋体" w:cs="宋体" w:hint="eastAsia"/>
          <w:color w:val="C1151A"/>
        </w:rPr>
        <w:t>医疗器械的生物学评估</w:t>
      </w:r>
      <w:r w:rsidRPr="002B32BD">
        <w:rPr>
          <w:color w:val="C1151A"/>
        </w:rPr>
        <w:t>–</w:t>
      </w:r>
      <w:r w:rsidRPr="002B32BD">
        <w:rPr>
          <w:rFonts w:ascii="宋体" w:eastAsia="宋体" w:hAnsi="宋体" w:cs="宋体" w:hint="eastAsia"/>
          <w:color w:val="C1151A"/>
        </w:rPr>
        <w:t>第</w:t>
      </w:r>
      <w:r w:rsidRPr="002B32BD">
        <w:rPr>
          <w:color w:val="C1151A"/>
        </w:rPr>
        <w:t>10</w:t>
      </w:r>
      <w:r w:rsidRPr="002B32BD">
        <w:rPr>
          <w:rFonts w:ascii="宋体" w:eastAsia="宋体" w:hAnsi="宋体" w:cs="宋体" w:hint="eastAsia"/>
          <w:color w:val="C1151A"/>
        </w:rPr>
        <w:t>部分：刺激性和皮肤致敏性测试</w:t>
      </w:r>
    </w:p>
    <w:p w14:paraId="344192CC" w14:textId="77777777" w:rsidR="002B32BD" w:rsidRPr="002B32BD" w:rsidRDefault="002B32BD" w:rsidP="002B32BD">
      <w:pPr>
        <w:spacing w:after="48" w:line="248" w:lineRule="auto"/>
        <w:ind w:left="185" w:hanging="10"/>
        <w:rPr>
          <w:color w:val="C1151A"/>
        </w:rPr>
      </w:pPr>
      <w:r w:rsidRPr="002B32BD">
        <w:rPr>
          <w:color w:val="C1151A"/>
        </w:rPr>
        <w:t>ISO 10993-11</w:t>
      </w:r>
      <w:r w:rsidRPr="002B32BD">
        <w:rPr>
          <w:rFonts w:ascii="宋体" w:eastAsia="宋体" w:hAnsi="宋体" w:cs="宋体" w:hint="eastAsia"/>
          <w:color w:val="C1151A"/>
        </w:rPr>
        <w:t>医疗器械的生物学评估</w:t>
      </w:r>
      <w:r w:rsidRPr="002B32BD">
        <w:rPr>
          <w:color w:val="C1151A"/>
        </w:rPr>
        <w:t>–</w:t>
      </w:r>
      <w:r w:rsidRPr="002B32BD">
        <w:rPr>
          <w:rFonts w:ascii="宋体" w:eastAsia="宋体" w:hAnsi="宋体" w:cs="宋体" w:hint="eastAsia"/>
          <w:color w:val="C1151A"/>
        </w:rPr>
        <w:t>第</w:t>
      </w:r>
      <w:r w:rsidRPr="002B32BD">
        <w:rPr>
          <w:color w:val="C1151A"/>
        </w:rPr>
        <w:t>11</w:t>
      </w:r>
      <w:r w:rsidRPr="002B32BD">
        <w:rPr>
          <w:rFonts w:ascii="宋体" w:eastAsia="宋体" w:hAnsi="宋体" w:cs="宋体" w:hint="eastAsia"/>
          <w:color w:val="C1151A"/>
        </w:rPr>
        <w:t>部分：全身毒性试验</w:t>
      </w:r>
    </w:p>
    <w:p w14:paraId="52A96025" w14:textId="77777777" w:rsidR="002B32BD" w:rsidRPr="002B32BD" w:rsidRDefault="002B32BD" w:rsidP="002B32BD">
      <w:pPr>
        <w:spacing w:after="48" w:line="248" w:lineRule="auto"/>
        <w:ind w:left="185" w:hanging="10"/>
        <w:rPr>
          <w:color w:val="C1151A"/>
        </w:rPr>
      </w:pPr>
      <w:r w:rsidRPr="002B32BD">
        <w:rPr>
          <w:color w:val="C1151A"/>
        </w:rPr>
        <w:t>ISO 10993-17</w:t>
      </w:r>
      <w:r w:rsidRPr="002B32BD">
        <w:rPr>
          <w:rFonts w:ascii="宋体" w:eastAsia="宋体" w:hAnsi="宋体" w:cs="宋体" w:hint="eastAsia"/>
          <w:color w:val="C1151A"/>
        </w:rPr>
        <w:t>医疗器械生物学评估第</w:t>
      </w:r>
      <w:r w:rsidRPr="002B32BD">
        <w:rPr>
          <w:color w:val="C1151A"/>
        </w:rPr>
        <w:t>17</w:t>
      </w:r>
      <w:r w:rsidRPr="002B32BD">
        <w:rPr>
          <w:rFonts w:ascii="宋体" w:eastAsia="宋体" w:hAnsi="宋体" w:cs="宋体" w:hint="eastAsia"/>
          <w:color w:val="C1151A"/>
        </w:rPr>
        <w:t>部分：确定可浸出物质的允许极限</w:t>
      </w:r>
    </w:p>
    <w:p w14:paraId="46DA4295" w14:textId="77777777" w:rsidR="002B32BD" w:rsidRPr="002B32BD" w:rsidRDefault="002B32BD" w:rsidP="002B32BD">
      <w:pPr>
        <w:spacing w:after="48" w:line="248" w:lineRule="auto"/>
        <w:ind w:left="185" w:hanging="10"/>
        <w:rPr>
          <w:color w:val="C1151A"/>
        </w:rPr>
      </w:pPr>
      <w:r w:rsidRPr="002B32BD">
        <w:rPr>
          <w:color w:val="C1151A"/>
        </w:rPr>
        <w:t>ISO 17664</w:t>
      </w:r>
      <w:r w:rsidRPr="002B32BD">
        <w:rPr>
          <w:rFonts w:ascii="宋体" w:eastAsia="宋体" w:hAnsi="宋体" w:cs="宋体" w:hint="eastAsia"/>
          <w:color w:val="C1151A"/>
        </w:rPr>
        <w:t>保健产品的加工</w:t>
      </w:r>
      <w:r w:rsidRPr="002B32BD">
        <w:rPr>
          <w:color w:val="C1151A"/>
        </w:rPr>
        <w:t>-</w:t>
      </w:r>
      <w:r w:rsidRPr="002B32BD">
        <w:rPr>
          <w:rFonts w:ascii="宋体" w:eastAsia="宋体" w:hAnsi="宋体" w:cs="宋体" w:hint="eastAsia"/>
          <w:color w:val="C1151A"/>
        </w:rPr>
        <w:t>信息</w:t>
      </w:r>
    </w:p>
    <w:p w14:paraId="422D8EB5" w14:textId="77777777" w:rsidR="002B32BD" w:rsidRPr="00EC1A52" w:rsidRDefault="002B32BD" w:rsidP="002B32BD">
      <w:pPr>
        <w:spacing w:after="48" w:line="248" w:lineRule="auto"/>
        <w:ind w:left="185" w:hanging="10"/>
        <w:rPr>
          <w:rFonts w:ascii="宋体" w:eastAsia="宋体" w:hAnsi="宋体" w:cs="宋体"/>
          <w:color w:val="C1151A"/>
        </w:rPr>
      </w:pPr>
      <w:r w:rsidRPr="00EC1A52">
        <w:rPr>
          <w:rFonts w:ascii="宋体" w:eastAsia="宋体" w:hAnsi="宋体" w:cs="宋体" w:hint="eastAsia"/>
          <w:color w:val="C1151A"/>
        </w:rPr>
        <w:t>由医疗设备制造商提供，用于处理医疗设备</w:t>
      </w:r>
    </w:p>
    <w:p w14:paraId="79713607" w14:textId="70DD9007" w:rsidR="0026097E" w:rsidRPr="00EC1A52" w:rsidRDefault="00284695" w:rsidP="002B32BD">
      <w:pPr>
        <w:spacing w:after="48" w:line="248" w:lineRule="auto"/>
        <w:ind w:left="185" w:hanging="10"/>
      </w:pPr>
      <w:r w:rsidRPr="00EC1A52">
        <w:t xml:space="preserve">2.3 ICH </w:t>
      </w:r>
      <w:r w:rsidR="002B32BD" w:rsidRPr="00EC1A52">
        <w:rPr>
          <w:rFonts w:ascii="宋体" w:eastAsia="宋体" w:hAnsi="宋体" w:cs="宋体" w:hint="eastAsia"/>
        </w:rPr>
        <w:t>指南</w:t>
      </w:r>
      <w:r w:rsidRPr="00EC1A52">
        <w:t>:</w:t>
      </w:r>
      <w:r w:rsidRPr="00EC1A52">
        <w:rPr>
          <w:vertAlign w:val="superscript"/>
        </w:rPr>
        <w:footnoteReference w:id="3"/>
      </w:r>
    </w:p>
    <w:p w14:paraId="70FE9081" w14:textId="77777777" w:rsidR="002B32BD" w:rsidRPr="002B32BD" w:rsidRDefault="002B32BD" w:rsidP="002B32BD">
      <w:pPr>
        <w:spacing w:after="16"/>
        <w:ind w:left="375" w:hanging="200"/>
        <w:rPr>
          <w:color w:val="C1151A"/>
        </w:rPr>
      </w:pPr>
      <w:r w:rsidRPr="002B32BD">
        <w:rPr>
          <w:color w:val="C1151A"/>
        </w:rPr>
        <w:t>ICH M7</w:t>
      </w:r>
      <w:r w:rsidRPr="002B32BD">
        <w:rPr>
          <w:rFonts w:ascii="宋体" w:eastAsia="宋体" w:hAnsi="宋体" w:cs="宋体" w:hint="eastAsia"/>
          <w:color w:val="C1151A"/>
        </w:rPr>
        <w:t>（</w:t>
      </w:r>
      <w:r w:rsidRPr="002B32BD">
        <w:rPr>
          <w:color w:val="C1151A"/>
        </w:rPr>
        <w:t>R1</w:t>
      </w:r>
      <w:r w:rsidRPr="002B32BD">
        <w:rPr>
          <w:rFonts w:ascii="宋体" w:eastAsia="宋体" w:hAnsi="宋体" w:cs="宋体" w:hint="eastAsia"/>
          <w:color w:val="C1151A"/>
        </w:rPr>
        <w:t>）评估和控制药物中的</w:t>
      </w:r>
      <w:r w:rsidRPr="002B32BD">
        <w:rPr>
          <w:color w:val="C1151A"/>
        </w:rPr>
        <w:t>DNA</w:t>
      </w:r>
      <w:r w:rsidRPr="002B32BD">
        <w:rPr>
          <w:rFonts w:ascii="宋体" w:eastAsia="宋体" w:hAnsi="宋体" w:cs="宋体" w:hint="eastAsia"/>
          <w:color w:val="C1151A"/>
        </w:rPr>
        <w:t>反应性（致突变性）杂质，以限制潜在的致癌风险（步骤</w:t>
      </w:r>
      <w:r w:rsidRPr="002B32BD">
        <w:rPr>
          <w:color w:val="C1151A"/>
        </w:rPr>
        <w:t>4</w:t>
      </w:r>
      <w:r w:rsidRPr="002B32BD">
        <w:rPr>
          <w:rFonts w:ascii="宋体" w:eastAsia="宋体" w:hAnsi="宋体" w:cs="宋体" w:hint="eastAsia"/>
          <w:color w:val="C1151A"/>
        </w:rPr>
        <w:t>；</w:t>
      </w:r>
      <w:r w:rsidRPr="002B32BD">
        <w:rPr>
          <w:color w:val="C1151A"/>
        </w:rPr>
        <w:t xml:space="preserve"> 2017</w:t>
      </w:r>
      <w:r w:rsidRPr="002B32BD">
        <w:rPr>
          <w:rFonts w:ascii="宋体" w:eastAsia="宋体" w:hAnsi="宋体" w:cs="宋体" w:hint="eastAsia"/>
          <w:color w:val="C1151A"/>
        </w:rPr>
        <w:t>年</w:t>
      </w:r>
      <w:r w:rsidRPr="002B32BD">
        <w:rPr>
          <w:color w:val="C1151A"/>
        </w:rPr>
        <w:t>3</w:t>
      </w:r>
      <w:r w:rsidRPr="002B32BD">
        <w:rPr>
          <w:rFonts w:ascii="宋体" w:eastAsia="宋体" w:hAnsi="宋体" w:cs="宋体" w:hint="eastAsia"/>
          <w:color w:val="C1151A"/>
        </w:rPr>
        <w:t>月</w:t>
      </w:r>
      <w:r w:rsidRPr="002B32BD">
        <w:rPr>
          <w:color w:val="C1151A"/>
        </w:rPr>
        <w:t>31</w:t>
      </w:r>
      <w:r w:rsidRPr="002B32BD">
        <w:rPr>
          <w:rFonts w:ascii="宋体" w:eastAsia="宋体" w:hAnsi="宋体" w:cs="宋体" w:hint="eastAsia"/>
          <w:color w:val="C1151A"/>
        </w:rPr>
        <w:t>日）</w:t>
      </w:r>
    </w:p>
    <w:p w14:paraId="70FAA058" w14:textId="737BF91B" w:rsidR="002B32BD" w:rsidRPr="002B32BD" w:rsidRDefault="002B32BD" w:rsidP="002B32BD">
      <w:pPr>
        <w:spacing w:after="16"/>
        <w:ind w:left="375" w:hanging="200"/>
        <w:rPr>
          <w:color w:val="C1151A"/>
        </w:rPr>
      </w:pPr>
      <w:r w:rsidRPr="002B32BD">
        <w:rPr>
          <w:color w:val="C1151A"/>
        </w:rPr>
        <w:t>ICH Q3A</w:t>
      </w:r>
      <w:r w:rsidRPr="002B32BD">
        <w:rPr>
          <w:rFonts w:ascii="宋体" w:eastAsia="宋体" w:hAnsi="宋体" w:cs="宋体" w:hint="eastAsia"/>
          <w:color w:val="C1151A"/>
        </w:rPr>
        <w:t>（</w:t>
      </w:r>
      <w:r w:rsidRPr="002B32BD">
        <w:rPr>
          <w:color w:val="C1151A"/>
        </w:rPr>
        <w:t>R2</w:t>
      </w:r>
      <w:r w:rsidRPr="002B32BD">
        <w:rPr>
          <w:rFonts w:ascii="宋体" w:eastAsia="宋体" w:hAnsi="宋体" w:cs="宋体" w:hint="eastAsia"/>
          <w:color w:val="C1151A"/>
        </w:rPr>
        <w:t>）新药中的杂质</w:t>
      </w:r>
    </w:p>
    <w:p w14:paraId="59E636FE" w14:textId="55D50716" w:rsidR="002B32BD" w:rsidRPr="002B32BD" w:rsidRDefault="002B32BD" w:rsidP="002B32BD">
      <w:pPr>
        <w:spacing w:after="16"/>
        <w:ind w:left="375" w:hanging="200"/>
        <w:rPr>
          <w:color w:val="C1151A"/>
        </w:rPr>
      </w:pPr>
      <w:r w:rsidRPr="002B32BD">
        <w:rPr>
          <w:color w:val="C1151A"/>
        </w:rPr>
        <w:t>ICH Q3B</w:t>
      </w:r>
      <w:r w:rsidRPr="002B32BD">
        <w:rPr>
          <w:rFonts w:ascii="宋体" w:eastAsia="宋体" w:hAnsi="宋体" w:cs="宋体" w:hint="eastAsia"/>
          <w:color w:val="C1151A"/>
        </w:rPr>
        <w:t>（</w:t>
      </w:r>
      <w:r w:rsidRPr="002B32BD">
        <w:rPr>
          <w:color w:val="C1151A"/>
        </w:rPr>
        <w:t>R2</w:t>
      </w:r>
      <w:r w:rsidRPr="002B32BD">
        <w:rPr>
          <w:rFonts w:ascii="宋体" w:eastAsia="宋体" w:hAnsi="宋体" w:cs="宋体" w:hint="eastAsia"/>
          <w:color w:val="C1151A"/>
        </w:rPr>
        <w:t>）新药产品中的杂质</w:t>
      </w:r>
    </w:p>
    <w:p w14:paraId="6FD8A52F" w14:textId="77777777" w:rsidR="002B32BD" w:rsidRPr="002B32BD" w:rsidRDefault="002B32BD" w:rsidP="002B32BD">
      <w:pPr>
        <w:spacing w:after="16"/>
        <w:ind w:left="375" w:hanging="200"/>
        <w:rPr>
          <w:color w:val="C1151A"/>
        </w:rPr>
      </w:pPr>
      <w:r w:rsidRPr="002B32BD">
        <w:rPr>
          <w:color w:val="C1151A"/>
        </w:rPr>
        <w:t>ICH Q3C</w:t>
      </w:r>
      <w:r w:rsidRPr="002B32BD">
        <w:rPr>
          <w:rFonts w:ascii="宋体" w:eastAsia="宋体" w:hAnsi="宋体" w:cs="宋体" w:hint="eastAsia"/>
          <w:color w:val="C1151A"/>
        </w:rPr>
        <w:t>（</w:t>
      </w:r>
      <w:r w:rsidRPr="002B32BD">
        <w:rPr>
          <w:color w:val="C1151A"/>
        </w:rPr>
        <w:t>R6</w:t>
      </w:r>
      <w:r w:rsidRPr="002B32BD">
        <w:rPr>
          <w:rFonts w:ascii="宋体" w:eastAsia="宋体" w:hAnsi="宋体" w:cs="宋体" w:hint="eastAsia"/>
          <w:color w:val="C1151A"/>
        </w:rPr>
        <w:t>）杂质：残留溶剂指南（最终</w:t>
      </w:r>
      <w:r w:rsidRPr="002B32BD">
        <w:rPr>
          <w:color w:val="C1151A"/>
        </w:rPr>
        <w:t>; 2019</w:t>
      </w:r>
      <w:r w:rsidRPr="002B32BD">
        <w:rPr>
          <w:rFonts w:ascii="宋体" w:eastAsia="宋体" w:hAnsi="宋体" w:cs="宋体" w:hint="eastAsia"/>
          <w:color w:val="C1151A"/>
        </w:rPr>
        <w:t>年</w:t>
      </w:r>
      <w:r w:rsidRPr="002B32BD">
        <w:rPr>
          <w:color w:val="C1151A"/>
        </w:rPr>
        <w:t>10</w:t>
      </w:r>
      <w:r w:rsidRPr="002B32BD">
        <w:rPr>
          <w:rFonts w:ascii="宋体" w:eastAsia="宋体" w:hAnsi="宋体" w:cs="宋体" w:hint="eastAsia"/>
          <w:color w:val="C1151A"/>
        </w:rPr>
        <w:t>月</w:t>
      </w:r>
      <w:r w:rsidRPr="002B32BD">
        <w:rPr>
          <w:color w:val="C1151A"/>
        </w:rPr>
        <w:t>4</w:t>
      </w:r>
      <w:r w:rsidRPr="002B32BD">
        <w:rPr>
          <w:rFonts w:ascii="宋体" w:eastAsia="宋体" w:hAnsi="宋体" w:cs="宋体" w:hint="eastAsia"/>
          <w:color w:val="C1151A"/>
        </w:rPr>
        <w:t>日）</w:t>
      </w:r>
    </w:p>
    <w:p w14:paraId="6545E007" w14:textId="77777777" w:rsidR="002B32BD" w:rsidRPr="002B32BD" w:rsidRDefault="002B32BD" w:rsidP="002B32BD">
      <w:pPr>
        <w:spacing w:after="16"/>
        <w:ind w:left="375" w:hanging="200"/>
        <w:rPr>
          <w:color w:val="C1151A"/>
        </w:rPr>
      </w:pPr>
      <w:r w:rsidRPr="002B32BD">
        <w:rPr>
          <w:color w:val="C1151A"/>
        </w:rPr>
        <w:t>ICH Q3D</w:t>
      </w:r>
      <w:r w:rsidRPr="002B32BD">
        <w:rPr>
          <w:rFonts w:ascii="宋体" w:eastAsia="宋体" w:hAnsi="宋体" w:cs="宋体" w:hint="eastAsia"/>
          <w:color w:val="C1151A"/>
        </w:rPr>
        <w:t>（</w:t>
      </w:r>
      <w:r w:rsidRPr="002B32BD">
        <w:rPr>
          <w:color w:val="C1151A"/>
        </w:rPr>
        <w:t>R1</w:t>
      </w:r>
      <w:r w:rsidRPr="002B32BD">
        <w:rPr>
          <w:rFonts w:ascii="宋体" w:eastAsia="宋体" w:hAnsi="宋体" w:cs="宋体" w:hint="eastAsia"/>
          <w:color w:val="C1151A"/>
        </w:rPr>
        <w:t>）元素杂质指南（步骤</w:t>
      </w:r>
      <w:r w:rsidRPr="002B32BD">
        <w:rPr>
          <w:color w:val="C1151A"/>
        </w:rPr>
        <w:t>4</w:t>
      </w:r>
      <w:r w:rsidRPr="002B32BD">
        <w:rPr>
          <w:rFonts w:ascii="宋体" w:eastAsia="宋体" w:hAnsi="宋体" w:cs="宋体" w:hint="eastAsia"/>
          <w:color w:val="C1151A"/>
        </w:rPr>
        <w:t>）</w:t>
      </w:r>
      <w:r w:rsidRPr="002B32BD">
        <w:rPr>
          <w:color w:val="C1151A"/>
        </w:rPr>
        <w:t>ICH Q9</w:t>
      </w:r>
      <w:r w:rsidRPr="002B32BD">
        <w:rPr>
          <w:rFonts w:ascii="宋体" w:eastAsia="宋体" w:hAnsi="宋体" w:cs="宋体" w:hint="eastAsia"/>
          <w:color w:val="C1151A"/>
        </w:rPr>
        <w:t>质量风险管理（步骤</w:t>
      </w:r>
      <w:r w:rsidRPr="002B32BD">
        <w:rPr>
          <w:color w:val="C1151A"/>
        </w:rPr>
        <w:t>4</w:t>
      </w:r>
      <w:r w:rsidRPr="002B32BD">
        <w:rPr>
          <w:rFonts w:ascii="宋体" w:eastAsia="宋体" w:hAnsi="宋体" w:cs="宋体" w:hint="eastAsia"/>
          <w:color w:val="C1151A"/>
        </w:rPr>
        <w:t>）</w:t>
      </w:r>
    </w:p>
    <w:p w14:paraId="165E0947" w14:textId="44B0525F" w:rsidR="0026097E" w:rsidRDefault="002B32BD" w:rsidP="002B32BD">
      <w:pPr>
        <w:spacing w:after="16"/>
        <w:ind w:left="375" w:hanging="200"/>
      </w:pPr>
      <w:r w:rsidRPr="002B32BD">
        <w:rPr>
          <w:color w:val="C1151A"/>
        </w:rPr>
        <w:t>ICH S9</w:t>
      </w:r>
      <w:r w:rsidRPr="002B32BD">
        <w:rPr>
          <w:rFonts w:ascii="宋体" w:eastAsia="宋体" w:hAnsi="宋体" w:cs="宋体" w:hint="eastAsia"/>
          <w:color w:val="C1151A"/>
        </w:rPr>
        <w:t>抗癌药物的非临床评价</w:t>
      </w:r>
    </w:p>
    <w:p w14:paraId="3096A15D" w14:textId="5272534E" w:rsidR="0026097E" w:rsidRPr="00EC1A52" w:rsidRDefault="00284695">
      <w:pPr>
        <w:spacing w:after="48" w:line="248" w:lineRule="auto"/>
        <w:ind w:left="185" w:hanging="10"/>
      </w:pPr>
      <w:r w:rsidRPr="00EC1A52">
        <w:t xml:space="preserve">2.4 </w:t>
      </w:r>
      <w:r w:rsidR="002B32BD" w:rsidRPr="00EC1A52">
        <w:rPr>
          <w:rFonts w:ascii="宋体" w:eastAsia="宋体" w:hAnsi="宋体" w:cs="宋体" w:hint="eastAsia"/>
        </w:rPr>
        <w:t>联邦法规</w:t>
      </w:r>
      <w:r w:rsidRPr="00EC1A52">
        <w:t>:</w:t>
      </w:r>
      <w:r w:rsidRPr="00EC1A52">
        <w:rPr>
          <w:vertAlign w:val="superscript"/>
        </w:rPr>
        <w:footnoteReference w:id="4"/>
      </w:r>
    </w:p>
    <w:p w14:paraId="34243A4B" w14:textId="77777777" w:rsidR="002B32BD" w:rsidRPr="002B32BD" w:rsidRDefault="002B32BD" w:rsidP="002B32BD">
      <w:pPr>
        <w:spacing w:after="181"/>
        <w:ind w:left="175" w:firstLine="0"/>
        <w:rPr>
          <w:color w:val="C1151A"/>
        </w:rPr>
      </w:pPr>
      <w:r w:rsidRPr="002B32BD">
        <w:rPr>
          <w:color w:val="C1151A"/>
        </w:rPr>
        <w:t>21 CFR 111.27</w:t>
      </w:r>
      <w:r w:rsidRPr="002B32BD">
        <w:rPr>
          <w:rFonts w:ascii="宋体" w:eastAsia="宋体" w:hAnsi="宋体" w:cs="宋体" w:hint="eastAsia"/>
          <w:color w:val="C1151A"/>
        </w:rPr>
        <w:t>您使用的设备和餐具有哪些要求？</w:t>
      </w:r>
    </w:p>
    <w:p w14:paraId="6CDD1AB2" w14:textId="77777777" w:rsidR="002B32BD" w:rsidRPr="00E31B75" w:rsidRDefault="002B32BD" w:rsidP="002B32BD">
      <w:pPr>
        <w:spacing w:after="181"/>
        <w:ind w:left="175" w:firstLine="0"/>
        <w:rPr>
          <w:color w:val="C1151A"/>
        </w:rPr>
      </w:pPr>
      <w:r w:rsidRPr="00E31B75">
        <w:rPr>
          <w:color w:val="C1151A"/>
        </w:rPr>
        <w:t>21 CFR 211.42</w:t>
      </w:r>
      <w:r w:rsidRPr="00E31B75">
        <w:rPr>
          <w:rFonts w:ascii="宋体" w:eastAsia="宋体" w:hAnsi="宋体" w:cs="宋体" w:hint="eastAsia"/>
          <w:color w:val="C1151A"/>
        </w:rPr>
        <w:t>（</w:t>
      </w:r>
      <w:r w:rsidRPr="00E31B75">
        <w:rPr>
          <w:color w:val="C1151A"/>
        </w:rPr>
        <w:t>d</w:t>
      </w:r>
      <w:r w:rsidRPr="00E31B75">
        <w:rPr>
          <w:rFonts w:ascii="宋体" w:eastAsia="宋体" w:hAnsi="宋体" w:cs="宋体" w:hint="eastAsia"/>
          <w:color w:val="C1151A"/>
        </w:rPr>
        <w:t>）设计和构造特点</w:t>
      </w:r>
    </w:p>
    <w:p w14:paraId="79561B7E" w14:textId="77777777" w:rsidR="002B32BD" w:rsidRPr="00E31B75" w:rsidRDefault="002B32BD" w:rsidP="002B32BD">
      <w:pPr>
        <w:spacing w:after="181"/>
        <w:ind w:left="175" w:firstLine="0"/>
        <w:rPr>
          <w:color w:val="C1151A"/>
        </w:rPr>
      </w:pPr>
      <w:r w:rsidRPr="00E31B75">
        <w:rPr>
          <w:color w:val="C1151A"/>
        </w:rPr>
        <w:t>21 CFR 211.46</w:t>
      </w:r>
      <w:r w:rsidRPr="00E31B75">
        <w:rPr>
          <w:rFonts w:ascii="宋体" w:eastAsia="宋体" w:hAnsi="宋体" w:cs="宋体" w:hint="eastAsia"/>
          <w:color w:val="C1151A"/>
        </w:rPr>
        <w:t>（</w:t>
      </w:r>
      <w:r w:rsidRPr="00E31B75">
        <w:rPr>
          <w:color w:val="C1151A"/>
        </w:rPr>
        <w:t>d</w:t>
      </w:r>
      <w:r w:rsidRPr="00E31B75">
        <w:rPr>
          <w:rFonts w:ascii="宋体" w:eastAsia="宋体" w:hAnsi="宋体" w:cs="宋体" w:hint="eastAsia"/>
          <w:color w:val="C1151A"/>
        </w:rPr>
        <w:t>）通风，空气过滤，空气加热和冷却</w:t>
      </w:r>
    </w:p>
    <w:p w14:paraId="7769A249" w14:textId="77777777" w:rsidR="002B32BD" w:rsidRPr="00E31B75" w:rsidRDefault="002B32BD" w:rsidP="002B32BD">
      <w:pPr>
        <w:spacing w:after="181"/>
        <w:ind w:left="175" w:firstLine="0"/>
        <w:rPr>
          <w:color w:val="C1151A"/>
        </w:rPr>
      </w:pPr>
      <w:r w:rsidRPr="00E31B75">
        <w:rPr>
          <w:color w:val="C1151A"/>
        </w:rPr>
        <w:t>21 CFR 211.67</w:t>
      </w:r>
      <w:r w:rsidRPr="00E31B75">
        <w:rPr>
          <w:rFonts w:ascii="宋体" w:eastAsia="宋体" w:hAnsi="宋体" w:cs="宋体" w:hint="eastAsia"/>
          <w:color w:val="C1151A"/>
        </w:rPr>
        <w:t>设备清洁和维护</w:t>
      </w:r>
    </w:p>
    <w:p w14:paraId="2A83D1EB" w14:textId="77777777" w:rsidR="002B32BD" w:rsidRPr="00E31B75" w:rsidRDefault="002B32BD" w:rsidP="002B32BD">
      <w:pPr>
        <w:spacing w:after="181"/>
        <w:ind w:left="175" w:firstLine="0"/>
        <w:rPr>
          <w:color w:val="C1151A"/>
        </w:rPr>
      </w:pPr>
      <w:r w:rsidRPr="00E31B75">
        <w:rPr>
          <w:color w:val="C1151A"/>
        </w:rPr>
        <w:t>21 CFR 211.176</w:t>
      </w:r>
      <w:r w:rsidRPr="00E31B75">
        <w:rPr>
          <w:rFonts w:ascii="宋体" w:eastAsia="宋体" w:hAnsi="宋体" w:cs="宋体" w:hint="eastAsia"/>
          <w:color w:val="C1151A"/>
        </w:rPr>
        <w:t>青霉素污染</w:t>
      </w:r>
    </w:p>
    <w:p w14:paraId="1E18E08A" w14:textId="77777777" w:rsidR="002B32BD" w:rsidRPr="00E31B75" w:rsidRDefault="002B32BD" w:rsidP="002B32BD">
      <w:pPr>
        <w:spacing w:after="181"/>
        <w:ind w:left="175" w:firstLine="0"/>
        <w:rPr>
          <w:color w:val="C1151A"/>
        </w:rPr>
      </w:pPr>
      <w:r w:rsidRPr="00E31B75">
        <w:rPr>
          <w:color w:val="C1151A"/>
        </w:rPr>
        <w:t>21 CFR 610.11</w:t>
      </w:r>
      <w:r w:rsidRPr="00E31B75">
        <w:rPr>
          <w:rFonts w:ascii="宋体" w:eastAsia="宋体" w:hAnsi="宋体" w:cs="宋体" w:hint="eastAsia"/>
          <w:color w:val="C1151A"/>
        </w:rPr>
        <w:t>一般安全</w:t>
      </w:r>
    </w:p>
    <w:p w14:paraId="702E38D6" w14:textId="3B6AE281" w:rsidR="0026097E" w:rsidRPr="00E31B75" w:rsidRDefault="002B32BD" w:rsidP="002B32BD">
      <w:pPr>
        <w:spacing w:after="181"/>
        <w:ind w:left="175" w:firstLine="0"/>
      </w:pPr>
      <w:r w:rsidRPr="00E31B75">
        <w:rPr>
          <w:color w:val="C1151A"/>
        </w:rPr>
        <w:t>21 CFR 820.70</w:t>
      </w:r>
      <w:r w:rsidRPr="00E31B75">
        <w:rPr>
          <w:rFonts w:ascii="宋体" w:eastAsia="宋体" w:hAnsi="宋体" w:cs="宋体" w:hint="eastAsia"/>
          <w:color w:val="C1151A"/>
        </w:rPr>
        <w:t>生产和过程控制</w:t>
      </w:r>
      <w:r w:rsidR="00284695" w:rsidRPr="00E31B75">
        <w:rPr>
          <w:color w:val="0000FF"/>
        </w:rPr>
        <w:t>s</w:t>
      </w:r>
    </w:p>
    <w:p w14:paraId="38474E12" w14:textId="2D35F408" w:rsidR="0026097E" w:rsidRPr="00E31B75" w:rsidRDefault="00284695">
      <w:pPr>
        <w:pStyle w:val="2"/>
        <w:ind w:left="-5"/>
      </w:pPr>
      <w:r w:rsidRPr="00E31B75">
        <w:t xml:space="preserve">3. </w:t>
      </w:r>
      <w:r w:rsidR="002B32BD" w:rsidRPr="00E31B75">
        <w:rPr>
          <w:rFonts w:ascii="宋体" w:eastAsia="宋体" w:hAnsi="宋体" w:cs="宋体" w:hint="eastAsia"/>
        </w:rPr>
        <w:t>术语</w:t>
      </w:r>
    </w:p>
    <w:p w14:paraId="62ED0EFC" w14:textId="77777777" w:rsidR="002B32BD" w:rsidRPr="00E31B75" w:rsidRDefault="00284695" w:rsidP="002B32BD">
      <w:pPr>
        <w:spacing w:after="20" w:line="248" w:lineRule="auto"/>
        <w:ind w:left="185" w:hanging="10"/>
      </w:pPr>
      <w:r w:rsidRPr="00E31B75">
        <w:t xml:space="preserve">3.1 </w:t>
      </w:r>
      <w:r w:rsidR="002B32BD" w:rsidRPr="00E31B75">
        <w:rPr>
          <w:rFonts w:ascii="宋体" w:eastAsia="宋体" w:hAnsi="宋体" w:cs="宋体" w:hint="eastAsia"/>
        </w:rPr>
        <w:t>定义：</w:t>
      </w:r>
    </w:p>
    <w:p w14:paraId="3B64CDB0" w14:textId="77777777" w:rsidR="002B32BD" w:rsidRPr="00E31B75" w:rsidRDefault="002B32BD" w:rsidP="002B32BD">
      <w:pPr>
        <w:spacing w:after="20" w:line="248" w:lineRule="auto"/>
        <w:ind w:left="185" w:hanging="10"/>
      </w:pPr>
      <w:r w:rsidRPr="00E31B75">
        <w:t>3.1.1</w:t>
      </w:r>
      <w:r w:rsidRPr="00E31B75">
        <w:rPr>
          <w:rFonts w:ascii="宋体" w:eastAsia="宋体" w:hAnsi="宋体" w:cs="宋体" w:hint="eastAsia"/>
        </w:rPr>
        <w:t>可接受的每日暴露量</w:t>
      </w:r>
      <w:r w:rsidRPr="00E31B75">
        <w:t>ADE</w:t>
      </w:r>
      <w:r w:rsidRPr="00E31B75">
        <w:rPr>
          <w:rFonts w:ascii="宋体" w:eastAsia="宋体" w:hAnsi="宋体" w:cs="宋体" w:hint="eastAsia"/>
        </w:rPr>
        <w:t>，</w:t>
      </w:r>
      <w:r w:rsidRPr="00E31B75">
        <w:t>n-</w:t>
      </w:r>
      <w:r w:rsidRPr="00E31B75">
        <w:rPr>
          <w:rFonts w:ascii="宋体" w:eastAsia="宋体" w:hAnsi="宋体" w:cs="宋体" w:hint="eastAsia"/>
        </w:rPr>
        <w:t>此术语表示基于健康的暴露极限（</w:t>
      </w:r>
      <w:r w:rsidRPr="00E31B75">
        <w:t>HBEL</w:t>
      </w:r>
      <w:r w:rsidRPr="00E31B75">
        <w:rPr>
          <w:rFonts w:ascii="宋体" w:eastAsia="宋体" w:hAnsi="宋体" w:cs="宋体" w:hint="eastAsia"/>
        </w:rPr>
        <w:t>），与术语</w:t>
      </w:r>
      <w:r w:rsidRPr="00E31B75">
        <w:t>“</w:t>
      </w:r>
      <w:r w:rsidRPr="00E31B75">
        <w:rPr>
          <w:rFonts w:ascii="宋体" w:eastAsia="宋体" w:hAnsi="宋体" w:cs="宋体" w:hint="eastAsia"/>
        </w:rPr>
        <w:t>允许的每日暴露量</w:t>
      </w:r>
      <w:r w:rsidRPr="00E31B75">
        <w:t>”</w:t>
      </w:r>
      <w:r w:rsidRPr="00E31B75">
        <w:rPr>
          <w:rFonts w:ascii="宋体" w:eastAsia="宋体" w:hAnsi="宋体" w:cs="宋体" w:hint="eastAsia"/>
        </w:rPr>
        <w:t>（</w:t>
      </w:r>
      <w:r w:rsidRPr="00E31B75">
        <w:t>PDE</w:t>
      </w:r>
      <w:r w:rsidRPr="00E31B75">
        <w:rPr>
          <w:rFonts w:ascii="宋体" w:eastAsia="宋体" w:hAnsi="宋体" w:cs="宋体" w:hint="eastAsia"/>
        </w:rPr>
        <w:t>）同义；有关详细信息，请参见</w:t>
      </w:r>
      <w:r w:rsidRPr="00E31B75">
        <w:t>HBEL</w:t>
      </w:r>
      <w:r w:rsidRPr="00E31B75">
        <w:rPr>
          <w:rFonts w:ascii="宋体" w:eastAsia="宋体" w:hAnsi="宋体" w:cs="宋体" w:hint="eastAsia"/>
        </w:rPr>
        <w:t>。</w:t>
      </w:r>
    </w:p>
    <w:p w14:paraId="2533A13F" w14:textId="77777777" w:rsidR="002B32BD" w:rsidRPr="00E31B75" w:rsidRDefault="002B32BD" w:rsidP="002B32BD">
      <w:pPr>
        <w:spacing w:after="20" w:line="248" w:lineRule="auto"/>
        <w:ind w:left="185" w:hanging="10"/>
      </w:pPr>
      <w:r w:rsidRPr="00E31B75">
        <w:t>3.1.2</w:t>
      </w:r>
      <w:r w:rsidRPr="00E31B75">
        <w:rPr>
          <w:rFonts w:ascii="宋体" w:eastAsia="宋体" w:hAnsi="宋体" w:cs="宋体" w:hint="eastAsia"/>
        </w:rPr>
        <w:t>累积，</w:t>
      </w:r>
      <w:r w:rsidRPr="00E31B75">
        <w:t>n——</w:t>
      </w:r>
      <w:r w:rsidRPr="00E31B75">
        <w:rPr>
          <w:rFonts w:ascii="宋体" w:eastAsia="宋体" w:hAnsi="宋体" w:cs="宋体" w:hint="eastAsia"/>
        </w:rPr>
        <w:t>由于重复给药而从所有接触途径中摄入的速率超过了生物体从体内清除该物质的能力，因而在生物体或生物体的一部分中某种物质的数量逐渐增加，最终导致稳态组织浓度高于单次给药所产生的浓度。</w:t>
      </w:r>
    </w:p>
    <w:p w14:paraId="48BDAC3A" w14:textId="77777777" w:rsidR="002B32BD" w:rsidRPr="00E31B75" w:rsidRDefault="002B32BD" w:rsidP="002B32BD">
      <w:pPr>
        <w:spacing w:after="20" w:line="248" w:lineRule="auto"/>
        <w:ind w:left="185" w:hanging="10"/>
      </w:pPr>
      <w:r w:rsidRPr="00E31B75">
        <w:t>3.1.3</w:t>
      </w:r>
      <w:r w:rsidRPr="00E31B75">
        <w:rPr>
          <w:rFonts w:ascii="宋体" w:eastAsia="宋体" w:hAnsi="宋体" w:cs="宋体" w:hint="eastAsia"/>
        </w:rPr>
        <w:t>调整因子，</w:t>
      </w:r>
      <w:r w:rsidRPr="00E31B75">
        <w:t>AF</w:t>
      </w:r>
      <w:r w:rsidRPr="00E31B75">
        <w:rPr>
          <w:rFonts w:ascii="宋体" w:eastAsia="宋体" w:hAnsi="宋体" w:cs="宋体" w:hint="eastAsia"/>
        </w:rPr>
        <w:t>，</w:t>
      </w:r>
      <w:r w:rsidRPr="00E31B75">
        <w:t>n-</w:t>
      </w:r>
      <w:r w:rsidRPr="00E31B75">
        <w:rPr>
          <w:rFonts w:ascii="宋体" w:eastAsia="宋体" w:hAnsi="宋体" w:cs="宋体" w:hint="eastAsia"/>
        </w:rPr>
        <w:t>在定量风险评估中使用的数字因子，代表或允许在特定实验室物种或暴露人群中观察到的暴露浓度及其相关健康结果的推断，不确定性或变异性。目标人群的暴露浓度（例如，从动物到人类患者以及短期暴露于慢性暴露）将与相同的给药剂量相关。</w:t>
      </w:r>
    </w:p>
    <w:p w14:paraId="2FCA6038" w14:textId="2F850BB5" w:rsidR="0026097E" w:rsidRPr="00E31B75" w:rsidRDefault="002B32BD" w:rsidP="002B32BD">
      <w:pPr>
        <w:spacing w:after="20" w:line="248" w:lineRule="auto"/>
        <w:ind w:left="185" w:hanging="10"/>
      </w:pPr>
      <w:r w:rsidRPr="00E31B75">
        <w:t>3.1.3.1</w:t>
      </w:r>
      <w:r w:rsidRPr="00E31B75">
        <w:rPr>
          <w:rFonts w:ascii="宋体" w:eastAsia="宋体" w:hAnsi="宋体" w:cs="宋体" w:hint="eastAsia"/>
        </w:rPr>
        <w:t>讨论</w:t>
      </w:r>
      <w:r w:rsidRPr="00E31B75">
        <w:t>—</w:t>
      </w:r>
      <w:r w:rsidRPr="00E31B75">
        <w:rPr>
          <w:rFonts w:ascii="宋体" w:eastAsia="宋体" w:hAnsi="宋体" w:cs="宋体" w:hint="eastAsia"/>
        </w:rPr>
        <w:t>与术语不确定因素（</w:t>
      </w:r>
      <w:r w:rsidRPr="00E31B75">
        <w:t>UF</w:t>
      </w:r>
      <w:r w:rsidRPr="00E31B75">
        <w:rPr>
          <w:rFonts w:ascii="宋体" w:eastAsia="宋体" w:hAnsi="宋体" w:cs="宋体" w:hint="eastAsia"/>
        </w:rPr>
        <w:t>），修改因素（</w:t>
      </w:r>
      <w:r w:rsidRPr="00E31B75">
        <w:t>MF</w:t>
      </w:r>
      <w:r w:rsidRPr="00E31B75">
        <w:rPr>
          <w:rFonts w:ascii="宋体" w:eastAsia="宋体" w:hAnsi="宋体" w:cs="宋体" w:hint="eastAsia"/>
        </w:rPr>
        <w:t>）和安全因素（</w:t>
      </w:r>
      <w:r w:rsidRPr="00E31B75">
        <w:t>SF</w:t>
      </w:r>
      <w:r w:rsidRPr="00E31B75">
        <w:rPr>
          <w:rFonts w:ascii="宋体" w:eastAsia="宋体" w:hAnsi="宋体" w:cs="宋体" w:hint="eastAsia"/>
        </w:rPr>
        <w:t>）同义。理想情况下，</w:t>
      </w:r>
      <w:r w:rsidRPr="00E31B75">
        <w:t>AF</w:t>
      </w:r>
      <w:r w:rsidRPr="00E31B75">
        <w:rPr>
          <w:rFonts w:ascii="宋体" w:eastAsia="宋体" w:hAnsi="宋体" w:cs="宋体" w:hint="eastAsia"/>
        </w:rPr>
        <w:t>应基于定量的化学特异性毒物动力学（</w:t>
      </w:r>
      <w:r w:rsidRPr="00E31B75">
        <w:t>TK</w:t>
      </w:r>
      <w:r w:rsidRPr="00E31B75">
        <w:rPr>
          <w:rFonts w:ascii="宋体" w:eastAsia="宋体" w:hAnsi="宋体" w:cs="宋体" w:hint="eastAsia"/>
        </w:rPr>
        <w:t>）或</w:t>
      </w:r>
      <w:r w:rsidRPr="00E31B75">
        <w:t>​​</w:t>
      </w:r>
      <w:r w:rsidRPr="00E31B75">
        <w:rPr>
          <w:rFonts w:ascii="宋体" w:eastAsia="宋体" w:hAnsi="宋体" w:cs="宋体" w:hint="eastAsia"/>
        </w:rPr>
        <w:t>毒物动力学（</w:t>
      </w:r>
      <w:r w:rsidRPr="00E31B75">
        <w:t>TD</w:t>
      </w:r>
      <w:r w:rsidRPr="00E31B75">
        <w:rPr>
          <w:rFonts w:ascii="宋体" w:eastAsia="宋体" w:hAnsi="宋体" w:cs="宋体" w:hint="eastAsia"/>
        </w:rPr>
        <w:t>）数据或两者，并考虑多种因素，例如种间推断，接触时间，种内变异性，影响的严重性等。通常，由于缺乏化学特定的</w:t>
      </w:r>
      <w:r w:rsidRPr="00E31B75">
        <w:t>TK</w:t>
      </w:r>
      <w:r w:rsidRPr="00E31B75">
        <w:rPr>
          <w:rFonts w:ascii="宋体" w:eastAsia="宋体" w:hAnsi="宋体" w:cs="宋体" w:hint="eastAsia"/>
        </w:rPr>
        <w:t>和</w:t>
      </w:r>
      <w:r w:rsidRPr="00E31B75">
        <w:t>TD</w:t>
      </w:r>
      <w:r w:rsidRPr="00E31B75">
        <w:rPr>
          <w:rFonts w:ascii="宋体" w:eastAsia="宋体" w:hAnsi="宋体" w:cs="宋体" w:hint="eastAsia"/>
        </w:rPr>
        <w:t>数据，因此使用默认的</w:t>
      </w:r>
      <w:r w:rsidRPr="00E31B75">
        <w:t>AF</w:t>
      </w:r>
      <w:r w:rsidRPr="00E31B75">
        <w:rPr>
          <w:rFonts w:ascii="宋体" w:eastAsia="宋体" w:hAnsi="宋体" w:cs="宋体" w:hint="eastAsia"/>
        </w:rPr>
        <w:t>值。在本指南中，在</w:t>
      </w:r>
      <w:r w:rsidRPr="00E31B75">
        <w:t>HBEL</w:t>
      </w:r>
      <w:r w:rsidRPr="00E31B75">
        <w:rPr>
          <w:rFonts w:ascii="宋体" w:eastAsia="宋体" w:hAnsi="宋体" w:cs="宋体" w:hint="eastAsia"/>
        </w:rPr>
        <w:t>设置中，术语</w:t>
      </w:r>
      <w:r w:rsidRPr="00E31B75">
        <w:t>“</w:t>
      </w:r>
      <w:r w:rsidRPr="00E31B75">
        <w:rPr>
          <w:rFonts w:ascii="宋体" w:eastAsia="宋体" w:hAnsi="宋体" w:cs="宋体" w:hint="eastAsia"/>
        </w:rPr>
        <w:t>药代动力学（</w:t>
      </w:r>
      <w:r w:rsidRPr="00E31B75">
        <w:t>PK</w:t>
      </w:r>
      <w:r w:rsidRPr="00E31B75">
        <w:rPr>
          <w:rFonts w:ascii="宋体" w:eastAsia="宋体" w:hAnsi="宋体" w:cs="宋体" w:hint="eastAsia"/>
        </w:rPr>
        <w:t>）</w:t>
      </w:r>
      <w:r w:rsidRPr="00E31B75">
        <w:t>”</w:t>
      </w:r>
      <w:r w:rsidRPr="00E31B75">
        <w:rPr>
          <w:rFonts w:ascii="宋体" w:eastAsia="宋体" w:hAnsi="宋体" w:cs="宋体" w:hint="eastAsia"/>
        </w:rPr>
        <w:t>和</w:t>
      </w:r>
      <w:r w:rsidRPr="00E31B75">
        <w:t>“</w:t>
      </w:r>
      <w:r w:rsidRPr="00E31B75">
        <w:rPr>
          <w:rFonts w:ascii="宋体" w:eastAsia="宋体" w:hAnsi="宋体" w:cs="宋体" w:hint="eastAsia"/>
        </w:rPr>
        <w:t>药代动力学（</w:t>
      </w:r>
      <w:r w:rsidRPr="00E31B75">
        <w:t>PD</w:t>
      </w:r>
      <w:r w:rsidRPr="00E31B75">
        <w:rPr>
          <w:rFonts w:ascii="宋体" w:eastAsia="宋体" w:hAnsi="宋体" w:cs="宋体" w:hint="eastAsia"/>
        </w:rPr>
        <w:t>）</w:t>
      </w:r>
      <w:r w:rsidRPr="00E31B75">
        <w:t>”</w:t>
      </w:r>
      <w:r w:rsidRPr="00E31B75">
        <w:rPr>
          <w:rFonts w:ascii="宋体" w:eastAsia="宋体" w:hAnsi="宋体" w:cs="宋体" w:hint="eastAsia"/>
        </w:rPr>
        <w:t>在本质上是</w:t>
      </w:r>
      <w:r w:rsidRPr="00E31B75">
        <w:t>“</w:t>
      </w:r>
      <w:r w:rsidRPr="00E31B75">
        <w:rPr>
          <w:rFonts w:ascii="宋体" w:eastAsia="宋体" w:hAnsi="宋体" w:cs="宋体" w:hint="eastAsia"/>
        </w:rPr>
        <w:t>毒代动力学</w:t>
      </w:r>
      <w:r w:rsidRPr="00E31B75">
        <w:t>”</w:t>
      </w:r>
      <w:r w:rsidRPr="00E31B75">
        <w:rPr>
          <w:rFonts w:ascii="宋体" w:eastAsia="宋体" w:hAnsi="宋体" w:cs="宋体" w:hint="eastAsia"/>
        </w:rPr>
        <w:t>和</w:t>
      </w:r>
      <w:r w:rsidRPr="00E31B75">
        <w:t>“</w:t>
      </w:r>
      <w:r w:rsidRPr="00E31B75">
        <w:rPr>
          <w:rFonts w:ascii="宋体" w:eastAsia="宋体" w:hAnsi="宋体" w:cs="宋体" w:hint="eastAsia"/>
        </w:rPr>
        <w:t>毒代动力学</w:t>
      </w:r>
      <w:r w:rsidRPr="00E31B75">
        <w:t>”</w:t>
      </w:r>
      <w:r w:rsidRPr="00E31B75">
        <w:rPr>
          <w:rFonts w:ascii="宋体" w:eastAsia="宋体" w:hAnsi="宋体" w:cs="宋体" w:hint="eastAsia"/>
        </w:rPr>
        <w:t>的同义词</w:t>
      </w:r>
      <w:r w:rsidR="00284695" w:rsidRPr="00E31B75">
        <w:t>.</w:t>
      </w:r>
    </w:p>
    <w:p w14:paraId="44C0C7D9" w14:textId="77777777" w:rsidR="002B32BD" w:rsidRPr="00E31B75" w:rsidRDefault="00284695" w:rsidP="002B32BD">
      <w:pPr>
        <w:spacing w:after="171"/>
        <w:ind w:left="-15"/>
      </w:pPr>
      <w:r w:rsidRPr="00E31B75">
        <w:t xml:space="preserve">3.1.4 </w:t>
      </w:r>
      <w:r w:rsidR="002B32BD" w:rsidRPr="00E31B75">
        <w:rPr>
          <w:rFonts w:ascii="宋体" w:eastAsia="宋体" w:hAnsi="宋体" w:cs="宋体" w:hint="eastAsia"/>
        </w:rPr>
        <w:t>不良反应，</w:t>
      </w:r>
      <w:r w:rsidR="002B32BD" w:rsidRPr="00E31B75">
        <w:t>n –</w:t>
      </w:r>
      <w:r w:rsidR="002B32BD" w:rsidRPr="00E31B75">
        <w:rPr>
          <w:rFonts w:ascii="宋体" w:eastAsia="宋体" w:hAnsi="宋体" w:cs="宋体" w:hint="eastAsia"/>
        </w:rPr>
        <w:t>与测试项目有关的动物形态，生理，生长，发育，繁殖或寿命变化，可能导致维持体内平衡的功能能力下降或对动物的反应能力下降</w:t>
      </w:r>
      <w:r w:rsidR="002B32BD" w:rsidRPr="00E31B75">
        <w:t xml:space="preserve"> </w:t>
      </w:r>
      <w:r w:rsidR="002B32BD" w:rsidRPr="00E31B75">
        <w:rPr>
          <w:rFonts w:ascii="宋体" w:eastAsia="宋体" w:hAnsi="宋体" w:cs="宋体" w:hint="eastAsia"/>
        </w:rPr>
        <w:t>附加挑战或两者兼而有之。</w:t>
      </w:r>
      <w:r w:rsidR="002B32BD" w:rsidRPr="00E31B75">
        <w:t xml:space="preserve"> </w:t>
      </w:r>
      <w:r w:rsidR="002B32BD" w:rsidRPr="00E31B75">
        <w:rPr>
          <w:rFonts w:ascii="宋体" w:eastAsia="宋体" w:hAnsi="宋体" w:cs="宋体" w:hint="eastAsia"/>
        </w:rPr>
        <w:t>（</w:t>
      </w:r>
      <w:r w:rsidR="002B32BD" w:rsidRPr="00E31B75">
        <w:t>1-3</w:t>
      </w:r>
      <w:r w:rsidR="002B32BD" w:rsidRPr="00E31B75">
        <w:rPr>
          <w:rFonts w:ascii="宋体" w:eastAsia="宋体" w:hAnsi="宋体" w:cs="宋体" w:hint="eastAsia"/>
        </w:rPr>
        <w:t>）</w:t>
      </w:r>
    </w:p>
    <w:p w14:paraId="32BFB2F7" w14:textId="77777777" w:rsidR="002B32BD" w:rsidRPr="00E31B75" w:rsidRDefault="002B32BD" w:rsidP="002B32BD">
      <w:pPr>
        <w:spacing w:after="171"/>
        <w:ind w:left="-15"/>
      </w:pPr>
      <w:r w:rsidRPr="00E31B75">
        <w:t>3.1.4.1</w:t>
      </w:r>
      <w:r w:rsidRPr="00E31B75">
        <w:rPr>
          <w:rFonts w:ascii="宋体" w:eastAsia="宋体" w:hAnsi="宋体" w:cs="宋体" w:hint="eastAsia"/>
        </w:rPr>
        <w:t>讨论</w:t>
      </w:r>
      <w:r w:rsidRPr="00E31B75">
        <w:t>—</w:t>
      </w:r>
      <w:r w:rsidRPr="00E31B75">
        <w:rPr>
          <w:rFonts w:ascii="宋体" w:eastAsia="宋体" w:hAnsi="宋体" w:cs="宋体" w:hint="eastAsia"/>
        </w:rPr>
        <w:t>在为意外的污染物或残留物建立</w:t>
      </w:r>
      <w:r w:rsidRPr="00E31B75">
        <w:t>HBEL</w:t>
      </w:r>
      <w:r w:rsidRPr="00E31B75">
        <w:rPr>
          <w:rFonts w:ascii="宋体" w:eastAsia="宋体" w:hAnsi="宋体" w:cs="宋体" w:hint="eastAsia"/>
        </w:rPr>
        <w:t>时，应将生物学上显着的药理作用视为不利。</w:t>
      </w:r>
    </w:p>
    <w:p w14:paraId="1B8C55C1" w14:textId="7F416D1E" w:rsidR="0026097E" w:rsidRPr="00E31B75" w:rsidRDefault="002B32BD" w:rsidP="002B32BD">
      <w:pPr>
        <w:spacing w:after="171"/>
        <w:ind w:left="-15"/>
      </w:pPr>
      <w:r w:rsidRPr="00E31B75">
        <w:t>3.1.5</w:t>
      </w:r>
      <w:r w:rsidRPr="00E31B75">
        <w:rPr>
          <w:rFonts w:ascii="宋体" w:eastAsia="宋体" w:hAnsi="宋体" w:cs="宋体" w:hint="eastAsia"/>
        </w:rPr>
        <w:t>基准剂量</w:t>
      </w:r>
      <w:r w:rsidRPr="00E31B75">
        <w:t>/</w:t>
      </w:r>
      <w:r w:rsidRPr="00E31B75">
        <w:rPr>
          <w:rFonts w:ascii="宋体" w:eastAsia="宋体" w:hAnsi="宋体" w:cs="宋体" w:hint="eastAsia"/>
        </w:rPr>
        <w:t>基准浓度，</w:t>
      </w:r>
      <w:r w:rsidRPr="00E31B75">
        <w:t>BMD / BMC</w:t>
      </w:r>
      <w:r w:rsidRPr="00E31B75">
        <w:rPr>
          <w:rFonts w:ascii="宋体" w:eastAsia="宋体" w:hAnsi="宋体" w:cs="宋体" w:hint="eastAsia"/>
        </w:rPr>
        <w:t>，</w:t>
      </w:r>
      <w:r w:rsidRPr="00E31B75">
        <w:t>n-</w:t>
      </w:r>
      <w:r w:rsidRPr="00E31B75">
        <w:rPr>
          <w:rFonts w:ascii="宋体" w:eastAsia="宋体" w:hAnsi="宋体" w:cs="宋体" w:hint="eastAsia"/>
        </w:rPr>
        <w:t>一种物质的数学得出的剂量，该物质相对于该效应的本底反应，产生预定的不良反应响应率变化</w:t>
      </w:r>
      <w:r w:rsidR="00284695" w:rsidRPr="00E31B75">
        <w:t xml:space="preserve">. </w:t>
      </w:r>
      <w:r w:rsidR="00284695" w:rsidRPr="00E31B75">
        <w:rPr>
          <w:b/>
        </w:rPr>
        <w:t>(</w:t>
      </w:r>
      <w:r w:rsidR="00284695" w:rsidRPr="00E31B75">
        <w:rPr>
          <w:b/>
          <w:color w:val="C1151A"/>
        </w:rPr>
        <w:t>4-6</w:t>
      </w:r>
      <w:r w:rsidR="00284695" w:rsidRPr="00E31B75">
        <w:rPr>
          <w:b/>
        </w:rPr>
        <w:t>)</w:t>
      </w:r>
    </w:p>
    <w:p w14:paraId="71C29BC9" w14:textId="74A91324" w:rsidR="0026097E" w:rsidRPr="00E31B75" w:rsidRDefault="00284695">
      <w:pPr>
        <w:ind w:left="-15"/>
      </w:pPr>
      <w:r w:rsidRPr="00E31B75">
        <w:t xml:space="preserve">3.1.5.1 </w:t>
      </w:r>
      <w:r w:rsidR="002B32BD" w:rsidRPr="00E31B75">
        <w:rPr>
          <w:rFonts w:ascii="宋体" w:eastAsia="宋体" w:hAnsi="宋体" w:cs="宋体" w:hint="eastAsia"/>
        </w:rPr>
        <w:t>讨论</w:t>
      </w:r>
      <w:r w:rsidR="002B32BD" w:rsidRPr="00E31B75">
        <w:t>— BMD</w:t>
      </w:r>
      <w:r w:rsidR="002B32BD" w:rsidRPr="00E31B75">
        <w:rPr>
          <w:rFonts w:ascii="宋体" w:eastAsia="宋体" w:hAnsi="宋体" w:cs="宋体" w:hint="eastAsia"/>
        </w:rPr>
        <w:t>或</w:t>
      </w:r>
      <w:r w:rsidR="002B32BD" w:rsidRPr="00E31B75">
        <w:t>BMC</w:t>
      </w:r>
      <w:r w:rsidR="002B32BD" w:rsidRPr="00E31B75">
        <w:rPr>
          <w:rFonts w:ascii="宋体" w:eastAsia="宋体" w:hAnsi="宋体" w:cs="宋体" w:hint="eastAsia"/>
        </w:rPr>
        <w:t>是指中央估计。</w:t>
      </w:r>
      <w:r w:rsidR="002B32BD" w:rsidRPr="00E31B75">
        <w:t xml:space="preserve"> </w:t>
      </w:r>
      <w:r w:rsidR="002B32BD" w:rsidRPr="00E31B75">
        <w:rPr>
          <w:rFonts w:ascii="宋体" w:eastAsia="宋体" w:hAnsi="宋体" w:cs="宋体" w:hint="eastAsia"/>
        </w:rPr>
        <w:t>基准剂量下限（</w:t>
      </w:r>
      <w:r w:rsidR="002B32BD" w:rsidRPr="00E31B75">
        <w:t>BMDL</w:t>
      </w:r>
      <w:r w:rsidR="002B32BD" w:rsidRPr="00E31B75">
        <w:rPr>
          <w:rFonts w:ascii="宋体" w:eastAsia="宋体" w:hAnsi="宋体" w:cs="宋体" w:hint="eastAsia"/>
        </w:rPr>
        <w:t>）和基准下限浓度（</w:t>
      </w:r>
      <w:r w:rsidR="002B32BD" w:rsidRPr="00E31B75">
        <w:t>BMCL</w:t>
      </w:r>
      <w:r w:rsidR="002B32BD" w:rsidRPr="00E31B75">
        <w:rPr>
          <w:rFonts w:ascii="宋体" w:eastAsia="宋体" w:hAnsi="宋体" w:cs="宋体" w:hint="eastAsia"/>
        </w:rPr>
        <w:t>）分别是指</w:t>
      </w:r>
      <w:r w:rsidR="002B32BD" w:rsidRPr="00E31B75">
        <w:t>BMD</w:t>
      </w:r>
      <w:r w:rsidR="002B32BD" w:rsidRPr="00E31B75">
        <w:rPr>
          <w:rFonts w:ascii="宋体" w:eastAsia="宋体" w:hAnsi="宋体" w:cs="宋体" w:hint="eastAsia"/>
        </w:rPr>
        <w:t>或</w:t>
      </w:r>
      <w:r w:rsidR="002B32BD" w:rsidRPr="00E31B75">
        <w:t>BMC</w:t>
      </w:r>
      <w:r w:rsidR="002B32BD" w:rsidRPr="00E31B75">
        <w:rPr>
          <w:rFonts w:ascii="宋体" w:eastAsia="宋体" w:hAnsi="宋体" w:cs="宋体" w:hint="eastAsia"/>
        </w:rPr>
        <w:t>上单边</w:t>
      </w:r>
      <w:r w:rsidR="002B32BD" w:rsidRPr="00E31B75">
        <w:t>95</w:t>
      </w:r>
      <w:r w:rsidR="002B32BD" w:rsidRPr="00E31B75">
        <w:rPr>
          <w:rFonts w:ascii="宋体" w:eastAsia="宋体" w:hAnsi="宋体" w:cs="宋体" w:hint="eastAsia"/>
        </w:rPr>
        <w:t>％置信区间的相应下限。</w:t>
      </w:r>
    </w:p>
    <w:p w14:paraId="5CC65A0E" w14:textId="77777777" w:rsidR="002B32BD" w:rsidRPr="00E31B75" w:rsidRDefault="00284695" w:rsidP="002B32BD">
      <w:pPr>
        <w:spacing w:after="138"/>
        <w:ind w:left="-15"/>
      </w:pPr>
      <w:r w:rsidRPr="00E31B75">
        <w:t xml:space="preserve">3.1.6 </w:t>
      </w:r>
      <w:r w:rsidR="002B32BD" w:rsidRPr="00E31B75">
        <w:rPr>
          <w:rFonts w:ascii="宋体" w:eastAsia="宋体" w:hAnsi="宋体" w:cs="宋体" w:hint="eastAsia"/>
        </w:rPr>
        <w:t>基准响应，</w:t>
      </w:r>
      <w:r w:rsidR="002B32BD" w:rsidRPr="00E31B75">
        <w:t>BMR</w:t>
      </w:r>
      <w:r w:rsidR="002B32BD" w:rsidRPr="00E31B75">
        <w:rPr>
          <w:rFonts w:ascii="宋体" w:eastAsia="宋体" w:hAnsi="宋体" w:cs="宋体" w:hint="eastAsia"/>
        </w:rPr>
        <w:t>，</w:t>
      </w:r>
      <w:r w:rsidR="002B32BD" w:rsidRPr="00E31B75">
        <w:t>n-</w:t>
      </w:r>
      <w:r w:rsidR="002B32BD" w:rsidRPr="00E31B75">
        <w:rPr>
          <w:rFonts w:ascii="宋体" w:eastAsia="宋体" w:hAnsi="宋体" w:cs="宋体" w:hint="eastAsia"/>
        </w:rPr>
        <w:t>相对于本效应的本底响应率，不良反应的响应率的预定变化（例如，定量（</w:t>
      </w:r>
      <w:r w:rsidR="002B32BD" w:rsidRPr="00E31B75">
        <w:t>“</w:t>
      </w:r>
      <w:r w:rsidR="002B32BD" w:rsidRPr="00E31B75">
        <w:rPr>
          <w:rFonts w:ascii="宋体" w:eastAsia="宋体" w:hAnsi="宋体" w:cs="宋体" w:hint="eastAsia"/>
        </w:rPr>
        <w:t>是</w:t>
      </w:r>
      <w:r w:rsidR="002B32BD" w:rsidRPr="00E31B75">
        <w:t>/</w:t>
      </w:r>
      <w:r w:rsidR="002B32BD" w:rsidRPr="00E31B75">
        <w:rPr>
          <w:rFonts w:ascii="宋体" w:eastAsia="宋体" w:hAnsi="宋体" w:cs="宋体" w:hint="eastAsia"/>
        </w:rPr>
        <w:t>否</w:t>
      </w:r>
      <w:r w:rsidR="002B32BD" w:rsidRPr="00E31B75">
        <w:t>”</w:t>
      </w:r>
      <w:r w:rsidR="002B32BD" w:rsidRPr="00E31B75">
        <w:rPr>
          <w:rFonts w:ascii="宋体" w:eastAsia="宋体" w:hAnsi="宋体" w:cs="宋体" w:hint="eastAsia"/>
        </w:rPr>
        <w:t>）或连续数据的响应率为</w:t>
      </w:r>
      <w:r w:rsidR="002B32BD" w:rsidRPr="00E31B75">
        <w:t>10</w:t>
      </w:r>
      <w:r w:rsidR="002B32BD" w:rsidRPr="00E31B75">
        <w:rPr>
          <w:rFonts w:ascii="宋体" w:eastAsia="宋体" w:hAnsi="宋体" w:cs="宋体" w:hint="eastAsia"/>
        </w:rPr>
        <w:t>％）。</w:t>
      </w:r>
      <w:r w:rsidR="002B32BD" w:rsidRPr="00E31B75">
        <w:t xml:space="preserve"> </w:t>
      </w:r>
      <w:r w:rsidR="002B32BD" w:rsidRPr="00E31B75">
        <w:rPr>
          <w:rFonts w:ascii="宋体" w:eastAsia="宋体" w:hAnsi="宋体" w:cs="宋体" w:hint="eastAsia"/>
        </w:rPr>
        <w:t>（</w:t>
      </w:r>
      <w:r w:rsidR="002B32BD" w:rsidRPr="00E31B75">
        <w:t>4-6</w:t>
      </w:r>
      <w:r w:rsidR="002B32BD" w:rsidRPr="00E31B75">
        <w:rPr>
          <w:rFonts w:ascii="宋体" w:eastAsia="宋体" w:hAnsi="宋体" w:cs="宋体" w:hint="eastAsia"/>
        </w:rPr>
        <w:t>）</w:t>
      </w:r>
    </w:p>
    <w:p w14:paraId="4079A274" w14:textId="77777777" w:rsidR="002B32BD" w:rsidRPr="00E31B75" w:rsidRDefault="002B32BD" w:rsidP="002B32BD">
      <w:pPr>
        <w:spacing w:after="138"/>
        <w:ind w:left="-15"/>
      </w:pPr>
      <w:r w:rsidRPr="00E31B75">
        <w:t>3.1.6.1</w:t>
      </w:r>
      <w:r w:rsidRPr="00E31B75">
        <w:rPr>
          <w:rFonts w:ascii="宋体" w:eastAsia="宋体" w:hAnsi="宋体" w:cs="宋体" w:hint="eastAsia"/>
        </w:rPr>
        <w:t>讨论</w:t>
      </w:r>
      <w:r w:rsidRPr="00E31B75">
        <w:t>— BMR</w:t>
      </w:r>
      <w:r w:rsidRPr="00E31B75">
        <w:rPr>
          <w:rFonts w:ascii="宋体" w:eastAsia="宋体" w:hAnsi="宋体" w:cs="宋体" w:hint="eastAsia"/>
        </w:rPr>
        <w:t>是得出</w:t>
      </w:r>
      <w:r w:rsidRPr="00E31B75">
        <w:t>BMD</w:t>
      </w:r>
      <w:r w:rsidRPr="00E31B75">
        <w:rPr>
          <w:rFonts w:ascii="宋体" w:eastAsia="宋体" w:hAnsi="宋体" w:cs="宋体" w:hint="eastAsia"/>
        </w:rPr>
        <w:t>和</w:t>
      </w:r>
      <w:r w:rsidRPr="00E31B75">
        <w:t>BMC</w:t>
      </w:r>
      <w:r w:rsidRPr="00E31B75">
        <w:rPr>
          <w:rFonts w:ascii="宋体" w:eastAsia="宋体" w:hAnsi="宋体" w:cs="宋体" w:hint="eastAsia"/>
        </w:rPr>
        <w:t>的基础。</w:t>
      </w:r>
    </w:p>
    <w:p w14:paraId="155A1BE7" w14:textId="77777777" w:rsidR="002B32BD" w:rsidRPr="00E31B75" w:rsidRDefault="002B32BD" w:rsidP="002B32BD">
      <w:pPr>
        <w:spacing w:after="138"/>
        <w:ind w:left="-15"/>
      </w:pPr>
      <w:r w:rsidRPr="00E31B75">
        <w:lastRenderedPageBreak/>
        <w:t>3.1.7</w:t>
      </w:r>
      <w:r w:rsidRPr="00E31B75">
        <w:rPr>
          <w:rFonts w:ascii="宋体" w:eastAsia="宋体" w:hAnsi="宋体" w:cs="宋体" w:hint="eastAsia"/>
        </w:rPr>
        <w:t>生物利用度，</w:t>
      </w:r>
      <w:r w:rsidRPr="00E31B75">
        <w:t>n-</w:t>
      </w:r>
      <w:r w:rsidRPr="00E31B75">
        <w:rPr>
          <w:rFonts w:ascii="宋体" w:eastAsia="宋体" w:hAnsi="宋体" w:cs="宋体" w:hint="eastAsia"/>
        </w:rPr>
        <w:t>在给药或暴露后达到全身循环的物质的分数。</w:t>
      </w:r>
    </w:p>
    <w:p w14:paraId="3CED25A4" w14:textId="77777777" w:rsidR="002B32BD" w:rsidRPr="00E31B75" w:rsidRDefault="002B32BD" w:rsidP="002B32BD">
      <w:pPr>
        <w:spacing w:after="138"/>
        <w:ind w:left="-15"/>
      </w:pPr>
      <w:r w:rsidRPr="00E31B75">
        <w:t>3.1.8</w:t>
      </w:r>
      <w:r w:rsidRPr="00E31B75">
        <w:rPr>
          <w:rFonts w:ascii="宋体" w:eastAsia="宋体" w:hAnsi="宋体" w:cs="宋体" w:hint="eastAsia"/>
        </w:rPr>
        <w:t>致癌物，</w:t>
      </w:r>
      <w:r w:rsidRPr="00E31B75">
        <w:t>n-</w:t>
      </w:r>
      <w:r w:rsidRPr="00E31B75">
        <w:rPr>
          <w:rFonts w:ascii="宋体" w:eastAsia="宋体" w:hAnsi="宋体" w:cs="宋体" w:hint="eastAsia"/>
        </w:rPr>
        <w:t>能够增加恶性肿瘤的发生率，减少其潜伏期或增加其严重性或多重性的药物。</w:t>
      </w:r>
    </w:p>
    <w:p w14:paraId="6ECB2B0A" w14:textId="70C9CB4F" w:rsidR="0026097E" w:rsidRPr="00E31B75" w:rsidRDefault="002B32BD" w:rsidP="002B32BD">
      <w:pPr>
        <w:spacing w:after="138"/>
        <w:ind w:left="-15"/>
      </w:pPr>
      <w:r w:rsidRPr="00E31B75">
        <w:t>3.1.8.1</w:t>
      </w:r>
      <w:r w:rsidRPr="00E31B75">
        <w:rPr>
          <w:rFonts w:ascii="宋体" w:eastAsia="宋体" w:hAnsi="宋体" w:cs="宋体" w:hint="eastAsia"/>
        </w:rPr>
        <w:t>讨论</w:t>
      </w:r>
      <w:r w:rsidRPr="00E31B75">
        <w:t>-</w:t>
      </w:r>
      <w:r w:rsidRPr="00E31B75">
        <w:rPr>
          <w:rFonts w:ascii="宋体" w:eastAsia="宋体" w:hAnsi="宋体" w:cs="宋体" w:hint="eastAsia"/>
        </w:rPr>
        <w:t>在某些情况下，良性肿瘤的诱导可能有助于判断该药物是否具有致癌性。术语</w:t>
      </w:r>
      <w:r w:rsidRPr="00E31B75">
        <w:t>“</w:t>
      </w:r>
      <w:r w:rsidRPr="00E31B75">
        <w:rPr>
          <w:rFonts w:ascii="宋体" w:eastAsia="宋体" w:hAnsi="宋体" w:cs="宋体" w:hint="eastAsia"/>
        </w:rPr>
        <w:t>肿瘤</w:t>
      </w:r>
      <w:r w:rsidRPr="00E31B75">
        <w:t>”</w:t>
      </w:r>
      <w:r w:rsidRPr="00E31B75">
        <w:rPr>
          <w:rFonts w:ascii="宋体" w:eastAsia="宋体" w:hAnsi="宋体" w:cs="宋体" w:hint="eastAsia"/>
        </w:rPr>
        <w:t>和</w:t>
      </w:r>
      <w:r w:rsidRPr="00E31B75">
        <w:t>“</w:t>
      </w:r>
      <w:r w:rsidRPr="00E31B75">
        <w:rPr>
          <w:rFonts w:ascii="宋体" w:eastAsia="宋体" w:hAnsi="宋体" w:cs="宋体" w:hint="eastAsia"/>
        </w:rPr>
        <w:t>肿瘤</w:t>
      </w:r>
      <w:r w:rsidRPr="00E31B75">
        <w:t>”</w:t>
      </w:r>
      <w:r w:rsidRPr="00E31B75">
        <w:rPr>
          <w:rFonts w:ascii="宋体" w:eastAsia="宋体" w:hAnsi="宋体" w:cs="宋体" w:hint="eastAsia"/>
        </w:rPr>
        <w:t>可互换使用（</w:t>
      </w:r>
      <w:r w:rsidRPr="00E31B75">
        <w:t>7</w:t>
      </w:r>
      <w:r w:rsidRPr="00E31B75">
        <w:rPr>
          <w:rFonts w:ascii="宋体" w:eastAsia="宋体" w:hAnsi="宋体" w:cs="宋体" w:hint="eastAsia"/>
        </w:rPr>
        <w:t>）。可能通过与脱氧核糖核酸（</w:t>
      </w:r>
      <w:r w:rsidRPr="00E31B75">
        <w:t>DNA</w:t>
      </w:r>
      <w:r w:rsidRPr="00E31B75">
        <w:rPr>
          <w:rFonts w:ascii="宋体" w:eastAsia="宋体" w:hAnsi="宋体" w:cs="宋体" w:hint="eastAsia"/>
        </w:rPr>
        <w:t>）相互作用而引起肿瘤的致癌物（遗传毒性）与引起肿瘤的致癌物通过不涉及遗传毒性（非遗传毒性）的其他机制区分开来</w:t>
      </w:r>
      <w:r w:rsidR="00284695" w:rsidRPr="00E31B75">
        <w:t>.</w:t>
      </w:r>
    </w:p>
    <w:p w14:paraId="055DEF94" w14:textId="77777777" w:rsidR="00587183" w:rsidRPr="00E31B75" w:rsidRDefault="00284695" w:rsidP="00587183">
      <w:pPr>
        <w:spacing w:after="74"/>
        <w:ind w:left="-15"/>
      </w:pPr>
      <w:r w:rsidRPr="00E31B75">
        <w:t xml:space="preserve">3.1.9 </w:t>
      </w:r>
      <w:r w:rsidR="00587183" w:rsidRPr="00E31B75">
        <w:rPr>
          <w:rFonts w:ascii="宋体" w:eastAsia="宋体" w:hAnsi="宋体" w:cs="宋体" w:hint="eastAsia"/>
        </w:rPr>
        <w:t>对患者健康的临床相关的，具有生物学意义的调整，以应对暴露。</w:t>
      </w:r>
    </w:p>
    <w:p w14:paraId="2524C539" w14:textId="7FBCB789" w:rsidR="0026097E" w:rsidRPr="00E31B75" w:rsidRDefault="00587183" w:rsidP="00587183">
      <w:pPr>
        <w:spacing w:after="74"/>
        <w:ind w:left="-15"/>
      </w:pPr>
      <w:r w:rsidRPr="00E31B75">
        <w:t>3.1.10</w:t>
      </w:r>
      <w:r w:rsidRPr="00E31B75">
        <w:rPr>
          <w:rFonts w:ascii="宋体" w:eastAsia="宋体" w:hAnsi="宋体" w:cs="宋体" w:hint="eastAsia"/>
        </w:rPr>
        <w:t>临界效应，</w:t>
      </w:r>
      <w:r w:rsidRPr="00E31B75">
        <w:t>n—</w:t>
      </w:r>
      <w:r w:rsidRPr="00E31B75">
        <w:rPr>
          <w:rFonts w:ascii="宋体" w:eastAsia="宋体" w:hAnsi="宋体" w:cs="宋体" w:hint="eastAsia"/>
        </w:rPr>
        <w:t>第一种不良反应，或其已知的前体，在针对种间差异和个体间差异进行适当调整后，以递增的剂量</w:t>
      </w:r>
      <w:r w:rsidRPr="00E31B75">
        <w:t>/</w:t>
      </w:r>
      <w:r w:rsidRPr="00E31B75">
        <w:rPr>
          <w:rFonts w:ascii="宋体" w:eastAsia="宋体" w:hAnsi="宋体" w:cs="宋体" w:hint="eastAsia"/>
        </w:rPr>
        <w:t>浓度标度出现</w:t>
      </w:r>
      <w:r w:rsidR="00284695" w:rsidRPr="00E31B75">
        <w:t xml:space="preserve">. </w:t>
      </w:r>
      <w:r w:rsidR="00284695" w:rsidRPr="00E31B75">
        <w:rPr>
          <w:b/>
        </w:rPr>
        <w:t>(</w:t>
      </w:r>
      <w:r w:rsidR="00284695" w:rsidRPr="00E31B75">
        <w:rPr>
          <w:b/>
          <w:color w:val="C1151A"/>
        </w:rPr>
        <w:t>8</w:t>
      </w:r>
      <w:r w:rsidR="00284695" w:rsidRPr="00E31B75">
        <w:rPr>
          <w:b/>
        </w:rPr>
        <w:t>)</w:t>
      </w:r>
    </w:p>
    <w:p w14:paraId="0EAED269" w14:textId="48D4D352" w:rsidR="0026097E" w:rsidRPr="00E31B75" w:rsidRDefault="00284695" w:rsidP="00587183">
      <w:pPr>
        <w:spacing w:after="63" w:line="244" w:lineRule="auto"/>
        <w:ind w:firstLine="0"/>
        <w:jc w:val="left"/>
      </w:pPr>
      <w:r w:rsidRPr="00E31B75">
        <w:t xml:space="preserve">3.1.10.1 </w:t>
      </w:r>
      <w:r w:rsidR="00587183" w:rsidRPr="00E31B75">
        <w:rPr>
          <w:rFonts w:ascii="宋体" w:eastAsia="宋体" w:hAnsi="宋体" w:cs="宋体" w:hint="eastAsia"/>
        </w:rPr>
        <w:t>讨论</w:t>
      </w:r>
      <w:proofErr w:type="gramStart"/>
      <w:r w:rsidR="00587183" w:rsidRPr="00E31B75">
        <w:t>—</w:t>
      </w:r>
      <w:r w:rsidR="00587183" w:rsidRPr="00E31B75">
        <w:rPr>
          <w:rFonts w:ascii="宋体" w:eastAsia="宋体" w:hAnsi="宋体" w:cs="宋体" w:hint="eastAsia"/>
        </w:rPr>
        <w:t>效果</w:t>
      </w:r>
      <w:proofErr w:type="gramEnd"/>
      <w:r w:rsidR="00587183" w:rsidRPr="00E31B75">
        <w:rPr>
          <w:rFonts w:ascii="宋体" w:eastAsia="宋体" w:hAnsi="宋体" w:cs="宋体" w:hint="eastAsia"/>
        </w:rPr>
        <w:t>应与目标人群有关（例如，患者或健康员工的意外暴露），即，在统计上和临床上均具有相关性。</w:t>
      </w:r>
      <w:r w:rsidR="00587183" w:rsidRPr="00E31B75">
        <w:t xml:space="preserve"> </w:t>
      </w:r>
      <w:r w:rsidR="00587183" w:rsidRPr="00E31B75">
        <w:rPr>
          <w:rFonts w:ascii="宋体" w:eastAsia="宋体" w:hAnsi="宋体" w:cs="宋体" w:hint="eastAsia"/>
        </w:rPr>
        <w:t>在本文中，</w:t>
      </w:r>
      <w:r w:rsidR="00587183" w:rsidRPr="00E31B75">
        <w:t>“</w:t>
      </w:r>
      <w:r w:rsidR="00587183" w:rsidRPr="00E31B75">
        <w:rPr>
          <w:rFonts w:ascii="宋体" w:eastAsia="宋体" w:hAnsi="宋体" w:cs="宋体" w:hint="eastAsia"/>
        </w:rPr>
        <w:t>临界效应</w:t>
      </w:r>
      <w:r w:rsidR="00587183" w:rsidRPr="00E31B75">
        <w:t>”</w:t>
      </w:r>
      <w:r w:rsidR="00587183" w:rsidRPr="00E31B75">
        <w:rPr>
          <w:rFonts w:ascii="宋体" w:eastAsia="宋体" w:hAnsi="宋体" w:cs="宋体" w:hint="eastAsia"/>
        </w:rPr>
        <w:t>是指先导效应是不希望的，但不一定对自然有害。</w:t>
      </w:r>
      <w:r w:rsidR="00587183" w:rsidRPr="00E31B75">
        <w:t xml:space="preserve"> </w:t>
      </w:r>
      <w:r w:rsidR="00587183" w:rsidRPr="00E31B75">
        <w:rPr>
          <w:rFonts w:ascii="宋体" w:eastAsia="宋体" w:hAnsi="宋体" w:cs="宋体" w:hint="eastAsia"/>
        </w:rPr>
        <w:t>关键影响可能导致最低的</w:t>
      </w:r>
      <w:r w:rsidR="00587183" w:rsidRPr="00E31B75">
        <w:t>HBEL</w:t>
      </w:r>
      <w:r w:rsidR="00587183" w:rsidRPr="00E31B75">
        <w:rPr>
          <w:rFonts w:ascii="宋体" w:eastAsia="宋体" w:hAnsi="宋体" w:cs="宋体" w:hint="eastAsia"/>
        </w:rPr>
        <w:t>；但是，也有例外</w:t>
      </w:r>
      <w:r w:rsidRPr="00E31B75">
        <w:t>.</w:t>
      </w:r>
    </w:p>
    <w:p w14:paraId="63CAC130" w14:textId="73BED1B6" w:rsidR="0026097E" w:rsidRPr="00E31B75" w:rsidRDefault="00284695">
      <w:pPr>
        <w:spacing w:after="178"/>
        <w:ind w:left="-15"/>
      </w:pPr>
      <w:r w:rsidRPr="00E31B75">
        <w:t xml:space="preserve">3.1.11 </w:t>
      </w:r>
      <w:r w:rsidR="00587183" w:rsidRPr="00E31B75">
        <w:rPr>
          <w:rFonts w:ascii="宋体" w:eastAsia="宋体" w:hAnsi="宋体" w:cs="宋体" w:hint="eastAsia"/>
        </w:rPr>
        <w:t>药物过敏，</w:t>
      </w:r>
      <w:r w:rsidR="00587183" w:rsidRPr="00E31B75">
        <w:t>n-</w:t>
      </w:r>
      <w:r w:rsidR="00587183" w:rsidRPr="00E31B75">
        <w:rPr>
          <w:rFonts w:ascii="宋体" w:eastAsia="宋体" w:hAnsi="宋体" w:cs="宋体" w:hint="eastAsia"/>
        </w:rPr>
        <w:t>免疫</w:t>
      </w:r>
      <w:proofErr w:type="gramStart"/>
      <w:r w:rsidR="00587183" w:rsidRPr="00E31B75">
        <w:rPr>
          <w:rFonts w:ascii="宋体" w:eastAsia="宋体" w:hAnsi="宋体" w:cs="宋体" w:hint="eastAsia"/>
        </w:rPr>
        <w:t>介</w:t>
      </w:r>
      <w:proofErr w:type="gramEnd"/>
      <w:r w:rsidR="00587183" w:rsidRPr="00E31B75">
        <w:rPr>
          <w:rFonts w:ascii="宋体" w:eastAsia="宋体" w:hAnsi="宋体" w:cs="宋体" w:hint="eastAsia"/>
        </w:rPr>
        <w:t>导的</w:t>
      </w:r>
      <w:proofErr w:type="gramStart"/>
      <w:r w:rsidR="00587183" w:rsidRPr="00E31B75">
        <w:rPr>
          <w:rFonts w:ascii="宋体" w:eastAsia="宋体" w:hAnsi="宋体" w:cs="宋体" w:hint="eastAsia"/>
        </w:rPr>
        <w:t>药物超</w:t>
      </w:r>
      <w:proofErr w:type="gramEnd"/>
      <w:r w:rsidR="00587183" w:rsidRPr="00E31B75">
        <w:rPr>
          <w:rFonts w:ascii="宋体" w:eastAsia="宋体" w:hAnsi="宋体" w:cs="宋体" w:hint="eastAsia"/>
        </w:rPr>
        <w:t>敏反应</w:t>
      </w:r>
      <w:r w:rsidRPr="00E31B75">
        <w:t>.</w:t>
      </w:r>
    </w:p>
    <w:p w14:paraId="74622D5E" w14:textId="70130686" w:rsidR="0026097E" w:rsidRPr="00E31B75" w:rsidRDefault="00284695">
      <w:pPr>
        <w:spacing w:after="58"/>
        <w:ind w:left="-15"/>
      </w:pPr>
      <w:r w:rsidRPr="00E31B75">
        <w:t xml:space="preserve">3.1.11.1 </w:t>
      </w:r>
      <w:r w:rsidR="00587183" w:rsidRPr="00E31B75">
        <w:rPr>
          <w:rFonts w:ascii="宋体" w:eastAsia="宋体" w:hAnsi="宋体" w:cs="宋体" w:hint="eastAsia"/>
        </w:rPr>
        <w:t>讨论</w:t>
      </w:r>
      <w:r w:rsidR="00587183" w:rsidRPr="00E31B75">
        <w:t>—</w:t>
      </w:r>
      <w:r w:rsidR="00587183" w:rsidRPr="00E31B75">
        <w:rPr>
          <w:rFonts w:ascii="宋体" w:eastAsia="宋体" w:hAnsi="宋体" w:cs="宋体" w:hint="eastAsia"/>
        </w:rPr>
        <w:t>在四种类型的超敏反应中，最常见的是</w:t>
      </w:r>
      <w:proofErr w:type="spellStart"/>
      <w:r w:rsidR="00587183" w:rsidRPr="00E31B75">
        <w:t>IgE</w:t>
      </w:r>
      <w:proofErr w:type="spellEnd"/>
      <w:proofErr w:type="gramStart"/>
      <w:r w:rsidR="00587183" w:rsidRPr="00E31B75">
        <w:rPr>
          <w:rFonts w:ascii="宋体" w:eastAsia="宋体" w:hAnsi="宋体" w:cs="宋体" w:hint="eastAsia"/>
        </w:rPr>
        <w:t>介</w:t>
      </w:r>
      <w:proofErr w:type="gramEnd"/>
      <w:r w:rsidR="00587183" w:rsidRPr="00E31B75">
        <w:rPr>
          <w:rFonts w:ascii="宋体" w:eastAsia="宋体" w:hAnsi="宋体" w:cs="宋体" w:hint="eastAsia"/>
        </w:rPr>
        <w:t>导的超敏反应</w:t>
      </w:r>
      <w:r w:rsidR="00587183" w:rsidRPr="00E31B75">
        <w:t>I</w:t>
      </w:r>
      <w:r w:rsidR="00587183" w:rsidRPr="00E31B75">
        <w:rPr>
          <w:rFonts w:ascii="宋体" w:eastAsia="宋体" w:hAnsi="宋体" w:cs="宋体" w:hint="eastAsia"/>
        </w:rPr>
        <w:t>型，这是最常见的，并且是真正的过敏反应（</w:t>
      </w:r>
      <w:r w:rsidR="00587183" w:rsidRPr="00E31B75">
        <w:t>9</w:t>
      </w:r>
      <w:r w:rsidR="00587183" w:rsidRPr="00E31B75">
        <w:rPr>
          <w:rFonts w:ascii="宋体" w:eastAsia="宋体" w:hAnsi="宋体" w:cs="宋体" w:hint="eastAsia"/>
        </w:rPr>
        <w:t>、</w:t>
      </w:r>
      <w:r w:rsidR="00587183" w:rsidRPr="00E31B75">
        <w:t>10</w:t>
      </w:r>
      <w:r w:rsidR="00587183" w:rsidRPr="00E31B75">
        <w:rPr>
          <w:rFonts w:ascii="宋体" w:eastAsia="宋体" w:hAnsi="宋体" w:cs="宋体" w:hint="eastAsia"/>
        </w:rPr>
        <w:t>）。</w:t>
      </w:r>
      <w:r w:rsidR="00587183" w:rsidRPr="00E31B75">
        <w:t xml:space="preserve"> T</w:t>
      </w:r>
      <w:r w:rsidR="00587183" w:rsidRPr="00E31B75">
        <w:rPr>
          <w:rFonts w:ascii="宋体" w:eastAsia="宋体" w:hAnsi="宋体" w:cs="宋体" w:hint="eastAsia"/>
        </w:rPr>
        <w:t>细胞</w:t>
      </w:r>
      <w:proofErr w:type="gramStart"/>
      <w:r w:rsidR="00587183" w:rsidRPr="00E31B75">
        <w:rPr>
          <w:rFonts w:ascii="宋体" w:eastAsia="宋体" w:hAnsi="宋体" w:cs="宋体" w:hint="eastAsia"/>
        </w:rPr>
        <w:t>介</w:t>
      </w:r>
      <w:proofErr w:type="gramEnd"/>
      <w:r w:rsidR="00587183" w:rsidRPr="00E31B75">
        <w:rPr>
          <w:rFonts w:ascii="宋体" w:eastAsia="宋体" w:hAnsi="宋体" w:cs="宋体" w:hint="eastAsia"/>
        </w:rPr>
        <w:t>导的（</w:t>
      </w:r>
      <w:r w:rsidR="00587183" w:rsidRPr="00E31B75">
        <w:t>IV</w:t>
      </w:r>
      <w:r w:rsidR="00587183" w:rsidRPr="00E31B75">
        <w:rPr>
          <w:rFonts w:ascii="宋体" w:eastAsia="宋体" w:hAnsi="宋体" w:cs="宋体" w:hint="eastAsia"/>
        </w:rPr>
        <w:t>型）超敏反应是延迟型反应，是第二常见的反应</w:t>
      </w:r>
      <w:r w:rsidRPr="00E31B75">
        <w:t>.</w:t>
      </w:r>
    </w:p>
    <w:p w14:paraId="1359FCC9" w14:textId="77777777" w:rsidR="00587183" w:rsidRPr="00E31B75" w:rsidRDefault="00284695" w:rsidP="00587183">
      <w:pPr>
        <w:spacing w:after="178"/>
        <w:ind w:left="-15"/>
      </w:pPr>
      <w:r w:rsidRPr="00E31B75">
        <w:t xml:space="preserve">3.1.12 </w:t>
      </w:r>
      <w:r w:rsidR="00587183" w:rsidRPr="00E31B75">
        <w:rPr>
          <w:rFonts w:ascii="宋体" w:eastAsia="宋体" w:hAnsi="宋体" w:cs="宋体" w:hint="eastAsia"/>
        </w:rPr>
        <w:t>遗传毒性，</w:t>
      </w:r>
      <w:r w:rsidR="00587183" w:rsidRPr="00E31B75">
        <w:t>n-</w:t>
      </w:r>
      <w:r w:rsidR="00587183" w:rsidRPr="00E31B75">
        <w:rPr>
          <w:rFonts w:ascii="宋体" w:eastAsia="宋体" w:hAnsi="宋体" w:cs="宋体" w:hint="eastAsia"/>
        </w:rPr>
        <w:t>也是遗传毒性；</w:t>
      </w:r>
      <w:r w:rsidR="00587183" w:rsidRPr="00E31B75">
        <w:t xml:space="preserve"> DNA</w:t>
      </w:r>
      <w:r w:rsidR="00587183" w:rsidRPr="00E31B75">
        <w:rPr>
          <w:rFonts w:ascii="宋体" w:eastAsia="宋体" w:hAnsi="宋体" w:cs="宋体" w:hint="eastAsia"/>
        </w:rPr>
        <w:t>受损和基因表达改变产生的影响。</w:t>
      </w:r>
    </w:p>
    <w:p w14:paraId="694FB855" w14:textId="7E436B3B" w:rsidR="0026097E" w:rsidRPr="00E31B75" w:rsidRDefault="00587183" w:rsidP="00587183">
      <w:pPr>
        <w:spacing w:after="178"/>
        <w:ind w:left="-15"/>
      </w:pPr>
      <w:r w:rsidRPr="00E31B75">
        <w:t>3.1.12.1</w:t>
      </w:r>
      <w:r w:rsidRPr="00E31B75">
        <w:rPr>
          <w:rFonts w:ascii="宋体" w:eastAsia="宋体" w:hAnsi="宋体" w:cs="宋体" w:hint="eastAsia"/>
        </w:rPr>
        <w:t>讨论</w:t>
      </w:r>
      <w:r w:rsidRPr="00E31B75">
        <w:t>—</w:t>
      </w:r>
      <w:r w:rsidRPr="00E31B75">
        <w:rPr>
          <w:rFonts w:ascii="宋体" w:eastAsia="宋体" w:hAnsi="宋体" w:cs="宋体" w:hint="eastAsia"/>
        </w:rPr>
        <w:t>遗传变化的四种类型是基因突变（基因中</w:t>
      </w:r>
      <w:r w:rsidRPr="00E31B75">
        <w:t>DNA</w:t>
      </w:r>
      <w:r w:rsidRPr="00E31B75">
        <w:rPr>
          <w:rFonts w:ascii="宋体" w:eastAsia="宋体" w:hAnsi="宋体" w:cs="宋体" w:hint="eastAsia"/>
        </w:rPr>
        <w:t>序列的变化），染色体畸变（染色体结构的变化），非整倍性</w:t>
      </w:r>
      <w:r w:rsidRPr="00E31B75">
        <w:t>/</w:t>
      </w:r>
      <w:r w:rsidRPr="00E31B75">
        <w:rPr>
          <w:rFonts w:ascii="宋体" w:eastAsia="宋体" w:hAnsi="宋体" w:cs="宋体" w:hint="eastAsia"/>
        </w:rPr>
        <w:t>多倍性（染色体数的增加或减少）和表观遗传学</w:t>
      </w:r>
      <w:r w:rsidRPr="00E31B75">
        <w:t xml:space="preserve"> </w:t>
      </w:r>
      <w:r w:rsidRPr="00E31B75">
        <w:rPr>
          <w:rFonts w:ascii="宋体" w:eastAsia="宋体" w:hAnsi="宋体" w:cs="宋体" w:hint="eastAsia"/>
        </w:rPr>
        <w:t>（</w:t>
      </w:r>
      <w:r w:rsidRPr="00E31B75">
        <w:t>DNA</w:t>
      </w:r>
      <w:r w:rsidRPr="00E31B75">
        <w:rPr>
          <w:rFonts w:ascii="宋体" w:eastAsia="宋体" w:hAnsi="宋体" w:cs="宋体" w:hint="eastAsia"/>
        </w:rPr>
        <w:t>的外部变化，例如甲基化）</w:t>
      </w:r>
      <w:r w:rsidR="00284695" w:rsidRPr="00E31B75">
        <w:t>.</w:t>
      </w:r>
    </w:p>
    <w:p w14:paraId="325F8A98" w14:textId="6734CE92" w:rsidR="0026097E" w:rsidRPr="00E31B75" w:rsidRDefault="00284695">
      <w:pPr>
        <w:spacing w:after="177"/>
        <w:ind w:left="-15"/>
      </w:pPr>
      <w:r w:rsidRPr="00E31B75">
        <w:t xml:space="preserve">3.1.13 </w:t>
      </w:r>
      <w:r w:rsidR="00587183" w:rsidRPr="00E31B75">
        <w:rPr>
          <w:rFonts w:ascii="宋体" w:eastAsia="宋体" w:hAnsi="宋体" w:cs="宋体" w:hint="eastAsia"/>
        </w:rPr>
        <w:t>通用评估因子，</w:t>
      </w:r>
      <w:r w:rsidR="00587183" w:rsidRPr="00E31B75">
        <w:t>n-</w:t>
      </w:r>
      <w:r w:rsidR="00587183" w:rsidRPr="00E31B75">
        <w:rPr>
          <w:rFonts w:ascii="宋体" w:eastAsia="宋体" w:hAnsi="宋体" w:cs="宋体" w:hint="eastAsia"/>
        </w:rPr>
        <w:t>用于评估科学技术信息的质量和相关性的因子</w:t>
      </w:r>
      <w:r w:rsidRPr="00E31B75">
        <w:t>.</w:t>
      </w:r>
    </w:p>
    <w:p w14:paraId="1654AA69" w14:textId="25304E05" w:rsidR="0026097E" w:rsidRPr="00E31B75" w:rsidRDefault="00284695">
      <w:pPr>
        <w:spacing w:after="62"/>
        <w:ind w:left="-15"/>
      </w:pPr>
      <w:r w:rsidRPr="00E31B75">
        <w:t xml:space="preserve">3.1.13.1 </w:t>
      </w:r>
      <w:r w:rsidR="00587183" w:rsidRPr="00E31B75">
        <w:rPr>
          <w:rFonts w:ascii="宋体" w:eastAsia="宋体" w:hAnsi="宋体" w:cs="宋体" w:hint="eastAsia"/>
        </w:rPr>
        <w:t>讨论</w:t>
      </w:r>
      <w:r w:rsidR="00587183" w:rsidRPr="00E31B75">
        <w:t>—</w:t>
      </w:r>
      <w:r w:rsidR="00587183" w:rsidRPr="00E31B75">
        <w:rPr>
          <w:rFonts w:ascii="宋体" w:eastAsia="宋体" w:hAnsi="宋体" w:cs="宋体" w:hint="eastAsia"/>
        </w:rPr>
        <w:t>五个总体评估因素包括健全性，适用性和实用性，清晰性和完整性，不确定性和可变性以及评估和审查（</w:t>
      </w:r>
      <w:r w:rsidR="00587183" w:rsidRPr="00E31B75">
        <w:t>11</w:t>
      </w:r>
      <w:r w:rsidR="00587183" w:rsidRPr="00E31B75">
        <w:rPr>
          <w:rFonts w:ascii="宋体" w:eastAsia="宋体" w:hAnsi="宋体" w:cs="宋体" w:hint="eastAsia"/>
        </w:rPr>
        <w:t>），应用于信息的质量保证水平与信息的预期用途以及</w:t>
      </w:r>
      <w:r w:rsidR="00587183" w:rsidRPr="00E31B75">
        <w:t xml:space="preserve"> </w:t>
      </w:r>
      <w:r w:rsidR="00587183" w:rsidRPr="00E31B75">
        <w:rPr>
          <w:rFonts w:ascii="宋体" w:eastAsia="宋体" w:hAnsi="宋体" w:cs="宋体" w:hint="eastAsia"/>
        </w:rPr>
        <w:t>该信息所必需的信任度</w:t>
      </w:r>
      <w:r w:rsidRPr="00E31B75">
        <w:t xml:space="preserve"> </w:t>
      </w:r>
      <w:r w:rsidRPr="00E31B75">
        <w:rPr>
          <w:b/>
        </w:rPr>
        <w:t>(</w:t>
      </w:r>
      <w:r w:rsidRPr="00E31B75">
        <w:rPr>
          <w:b/>
          <w:color w:val="C1151A"/>
        </w:rPr>
        <w:t>12</w:t>
      </w:r>
      <w:r w:rsidRPr="00E31B75">
        <w:rPr>
          <w:b/>
        </w:rPr>
        <w:t>)</w:t>
      </w:r>
      <w:r w:rsidRPr="00E31B75">
        <w:t>.</w:t>
      </w:r>
    </w:p>
    <w:p w14:paraId="491A32AB" w14:textId="5E33E740" w:rsidR="0026097E" w:rsidRPr="00E31B75" w:rsidRDefault="00284695">
      <w:pPr>
        <w:spacing w:after="176"/>
        <w:ind w:left="-15"/>
      </w:pPr>
      <w:r w:rsidRPr="00E31B75">
        <w:t xml:space="preserve">3.1.14 </w:t>
      </w:r>
      <w:r w:rsidR="00587183" w:rsidRPr="00E31B75">
        <w:rPr>
          <w:rFonts w:ascii="宋体" w:eastAsia="宋体" w:hAnsi="宋体" w:cs="宋体" w:hint="eastAsia"/>
        </w:rPr>
        <w:t>通用药物，</w:t>
      </w:r>
      <w:r w:rsidR="00587183" w:rsidRPr="00E31B75">
        <w:t>n-</w:t>
      </w:r>
      <w:r w:rsidR="00587183" w:rsidRPr="00E31B75">
        <w:rPr>
          <w:rFonts w:ascii="宋体" w:eastAsia="宋体" w:hAnsi="宋体" w:cs="宋体" w:hint="eastAsia"/>
        </w:rPr>
        <w:t>药物产品，在剂型，强度，给药途径，质量和性能特征以及预期用途方面可与品牌</w:t>
      </w:r>
      <w:r w:rsidR="00587183" w:rsidRPr="00E31B75">
        <w:t>/</w:t>
      </w:r>
      <w:r w:rsidR="00587183" w:rsidRPr="00E31B75">
        <w:rPr>
          <w:rFonts w:ascii="宋体" w:eastAsia="宋体" w:hAnsi="宋体" w:cs="宋体" w:hint="eastAsia"/>
        </w:rPr>
        <w:t>参考列出的药物产品相媲美</w:t>
      </w:r>
      <w:r w:rsidRPr="00E31B75">
        <w:t>.</w:t>
      </w:r>
    </w:p>
    <w:p w14:paraId="0D16B0A0" w14:textId="6EE5383F" w:rsidR="0026097E" w:rsidRPr="00E31B75" w:rsidRDefault="00284695">
      <w:pPr>
        <w:spacing w:after="61"/>
        <w:ind w:left="190" w:firstLine="0"/>
      </w:pPr>
      <w:r w:rsidRPr="00E31B75">
        <w:t xml:space="preserve">3.1.14.1 </w:t>
      </w:r>
      <w:r w:rsidR="00587183" w:rsidRPr="00E31B75">
        <w:rPr>
          <w:rFonts w:ascii="宋体" w:eastAsia="宋体" w:hAnsi="宋体" w:cs="宋体" w:hint="eastAsia"/>
        </w:rPr>
        <w:t>讨论</w:t>
      </w:r>
      <w:r w:rsidR="00587183" w:rsidRPr="00E31B75">
        <w:t>—</w:t>
      </w:r>
      <w:r w:rsidR="00587183" w:rsidRPr="00E31B75">
        <w:rPr>
          <w:rFonts w:ascii="宋体" w:eastAsia="宋体" w:hAnsi="宋体" w:cs="宋体" w:hint="eastAsia"/>
        </w:rPr>
        <w:t>生物仿制药是通用的生物制剂</w:t>
      </w:r>
    </w:p>
    <w:p w14:paraId="3A82B02F" w14:textId="7F1F6A9F" w:rsidR="0026097E" w:rsidRPr="00E31B75" w:rsidRDefault="00284695">
      <w:pPr>
        <w:spacing w:after="117"/>
        <w:ind w:left="-15"/>
      </w:pPr>
      <w:r w:rsidRPr="00E31B75">
        <w:t>3.1.15</w:t>
      </w:r>
      <w:r w:rsidR="00587183" w:rsidRPr="00E31B75">
        <w:rPr>
          <w:rFonts w:ascii="宋体" w:eastAsia="宋体" w:hAnsi="宋体" w:cs="宋体" w:hint="eastAsia"/>
        </w:rPr>
        <w:t>危害特征描述（美国</w:t>
      </w:r>
      <w:r w:rsidR="00587183" w:rsidRPr="00E31B75">
        <w:t>EPA</w:t>
      </w:r>
      <w:r w:rsidR="00587183" w:rsidRPr="00E31B75">
        <w:rPr>
          <w:rFonts w:ascii="宋体" w:eastAsia="宋体" w:hAnsi="宋体" w:cs="宋体" w:hint="eastAsia"/>
        </w:rPr>
        <w:t>风险评估框架中的剂量反应评估），</w:t>
      </w:r>
      <w:r w:rsidR="00587183" w:rsidRPr="00E31B75">
        <w:t>n-</w:t>
      </w:r>
      <w:r w:rsidR="00587183" w:rsidRPr="00E31B75">
        <w:rPr>
          <w:rFonts w:ascii="宋体" w:eastAsia="宋体" w:hAnsi="宋体" w:cs="宋体" w:hint="eastAsia"/>
        </w:rPr>
        <w:t>对药物的固有特性或可能引起不良影响的情况的定性和定量描述（</w:t>
      </w:r>
      <w:r w:rsidR="00587183" w:rsidRPr="00E31B75">
        <w:t>13</w:t>
      </w:r>
      <w:r w:rsidR="00587183" w:rsidRPr="00E31B75">
        <w:rPr>
          <w:rFonts w:ascii="宋体" w:eastAsia="宋体" w:hAnsi="宋体" w:cs="宋体" w:hint="eastAsia"/>
        </w:rPr>
        <w:t>）。</w:t>
      </w:r>
      <w:r w:rsidR="00587183" w:rsidRPr="00E31B75">
        <w:t xml:space="preserve"> </w:t>
      </w:r>
      <w:r w:rsidR="00587183" w:rsidRPr="00E31B75">
        <w:rPr>
          <w:rFonts w:ascii="宋体" w:eastAsia="宋体" w:hAnsi="宋体" w:cs="宋体" w:hint="eastAsia"/>
        </w:rPr>
        <w:t>这是对特定化合物的潜在</w:t>
      </w:r>
      <w:r w:rsidR="00587183" w:rsidRPr="00E31B75">
        <w:rPr>
          <w:rFonts w:ascii="宋体" w:eastAsia="宋体" w:hAnsi="宋体" w:cs="宋体" w:hint="eastAsia"/>
        </w:rPr>
        <w:t>不良健康影响，该药物发挥毒性作用的机制以及相关的剂量，途径，持续时间和接触时间的描述</w:t>
      </w:r>
      <w:r w:rsidRPr="00E31B75">
        <w:t>.</w:t>
      </w:r>
    </w:p>
    <w:p w14:paraId="42ADCE8B" w14:textId="3A88AC58" w:rsidR="0026097E" w:rsidRPr="00E31B75" w:rsidRDefault="00284695">
      <w:pPr>
        <w:spacing w:after="177"/>
        <w:ind w:left="-15"/>
      </w:pPr>
      <w:r w:rsidRPr="00E31B75">
        <w:t>3.1.16</w:t>
      </w:r>
      <w:r w:rsidR="00587183" w:rsidRPr="00E31B75">
        <w:rPr>
          <w:rFonts w:ascii="宋体" w:eastAsia="宋体" w:hAnsi="宋体" w:cs="宋体" w:hint="eastAsia"/>
        </w:rPr>
        <w:t>基于健康的暴露极限，</w:t>
      </w:r>
      <w:r w:rsidR="00587183" w:rsidRPr="00E31B75">
        <w:t>HBEL</w:t>
      </w:r>
      <w:r w:rsidR="00587183" w:rsidRPr="00E31B75">
        <w:rPr>
          <w:rFonts w:ascii="宋体" w:eastAsia="宋体" w:hAnsi="宋体" w:cs="宋体" w:hint="eastAsia"/>
        </w:rPr>
        <w:t>，</w:t>
      </w:r>
      <w:r w:rsidR="00587183" w:rsidRPr="00E31B75">
        <w:t>n-</w:t>
      </w:r>
      <w:r w:rsidR="00587183" w:rsidRPr="00E31B75">
        <w:rPr>
          <w:rFonts w:ascii="宋体" w:eastAsia="宋体" w:hAnsi="宋体" w:cs="宋体" w:hint="eastAsia"/>
        </w:rPr>
        <w:t>如果个人在一生中每天通过任何途径暴露于或低于该剂量，则不太可能造成不利影响的剂量</w:t>
      </w:r>
      <w:r w:rsidRPr="00E31B75">
        <w:t>.</w:t>
      </w:r>
    </w:p>
    <w:p w14:paraId="392321D0" w14:textId="08F18A84" w:rsidR="00587183" w:rsidRPr="00E31B75" w:rsidRDefault="00284695" w:rsidP="00587183">
      <w:pPr>
        <w:ind w:left="-15"/>
      </w:pPr>
      <w:r w:rsidRPr="00E31B75">
        <w:t xml:space="preserve">3.1.16.1 </w:t>
      </w:r>
      <w:r w:rsidR="002C571D" w:rsidRPr="002C571D">
        <w:rPr>
          <w:rFonts w:ascii="宋体" w:eastAsia="宋体" w:hAnsi="宋体" w:cs="宋体" w:hint="eastAsia"/>
        </w:rPr>
        <w:t>讨论—</w:t>
      </w:r>
      <w:r w:rsidR="002C571D" w:rsidRPr="002C571D">
        <w:rPr>
          <w:rFonts w:ascii="宋体" w:eastAsia="宋体" w:hAnsi="宋体" w:cs="宋体"/>
        </w:rPr>
        <w:t xml:space="preserve"> HBEL</w:t>
      </w:r>
      <w:r w:rsidR="002C571D" w:rsidRPr="002C571D">
        <w:rPr>
          <w:rFonts w:ascii="宋体" w:eastAsia="宋体" w:hAnsi="宋体" w:cs="宋体" w:hint="eastAsia"/>
        </w:rPr>
        <w:t>基于关键作用，应通过所有给药途径保护所有人群，并且应是对所有可用药理和毒理学数据（包括非临床和临床）进行结构科学评估的结果数据</w:t>
      </w:r>
      <w:r w:rsidR="002C571D">
        <w:rPr>
          <w:rFonts w:ascii="宋体" w:eastAsia="宋体" w:hAnsi="宋体" w:cs="宋体" w:hint="eastAsia"/>
        </w:rPr>
        <w:t>(</w:t>
      </w:r>
      <w:r w:rsidR="002C571D" w:rsidRPr="00E31B75">
        <w:rPr>
          <w:b/>
          <w:color w:val="C1151A"/>
        </w:rPr>
        <w:t>14</w:t>
      </w:r>
      <w:r w:rsidR="002C571D" w:rsidRPr="00E31B75">
        <w:rPr>
          <w:b/>
        </w:rPr>
        <w:t xml:space="preserve">, </w:t>
      </w:r>
      <w:r w:rsidR="002C571D" w:rsidRPr="00E31B75">
        <w:rPr>
          <w:b/>
          <w:color w:val="C1151A"/>
        </w:rPr>
        <w:t>15</w:t>
      </w:r>
      <w:r w:rsidR="002C571D">
        <w:rPr>
          <w:rFonts w:ascii="宋体" w:eastAsia="宋体" w:hAnsi="宋体" w:cs="宋体"/>
        </w:rPr>
        <w:t>)</w:t>
      </w:r>
    </w:p>
    <w:p w14:paraId="4FC1C55F" w14:textId="13D50D1F" w:rsidR="0026097E" w:rsidRPr="00E31B75" w:rsidRDefault="00587183" w:rsidP="00587183">
      <w:pPr>
        <w:ind w:left="-15"/>
      </w:pPr>
      <w:r w:rsidRPr="00E31B75">
        <w:t>3.1.17</w:t>
      </w:r>
      <w:r w:rsidRPr="00E31B75">
        <w:rPr>
          <w:rFonts w:ascii="宋体" w:eastAsia="宋体" w:hAnsi="宋体" w:cs="宋体" w:hint="eastAsia"/>
        </w:rPr>
        <w:t>中间体，</w:t>
      </w:r>
      <w:r w:rsidRPr="00E31B75">
        <w:t>n-</w:t>
      </w:r>
      <w:r w:rsidRPr="00E31B75">
        <w:rPr>
          <w:rFonts w:ascii="宋体" w:eastAsia="宋体" w:hAnsi="宋体" w:cs="宋体" w:hint="eastAsia"/>
        </w:rPr>
        <w:t>活性药物成分（</w:t>
      </w:r>
      <w:r w:rsidRPr="00E31B75">
        <w:t>API</w:t>
      </w:r>
      <w:r w:rsidRPr="00E31B75">
        <w:rPr>
          <w:rFonts w:ascii="宋体" w:eastAsia="宋体" w:hAnsi="宋体" w:cs="宋体" w:hint="eastAsia"/>
        </w:rPr>
        <w:t>）合成步骤中产生的物质，该物质应进行进一步的分子改变或加工，从而形成</w:t>
      </w:r>
      <w:r w:rsidRPr="00E31B75">
        <w:t>API</w:t>
      </w:r>
    </w:p>
    <w:p w14:paraId="57BDB297" w14:textId="39FC5020" w:rsidR="0026097E" w:rsidRPr="00E31B75" w:rsidRDefault="00284695">
      <w:pPr>
        <w:spacing w:after="99"/>
        <w:ind w:left="-15"/>
      </w:pPr>
      <w:r w:rsidRPr="00E31B75">
        <w:t>3.1.18</w:t>
      </w:r>
      <w:r w:rsidR="00E31B75" w:rsidRPr="00E31B75">
        <w:rPr>
          <w:rFonts w:ascii="宋体" w:eastAsia="宋体" w:hAnsi="宋体" w:cs="宋体" w:hint="eastAsia"/>
        </w:rPr>
        <w:t>在计算机中，</w:t>
      </w:r>
      <w:r w:rsidR="00544D6C">
        <w:rPr>
          <w:rFonts w:ascii="宋体" w:eastAsia="宋体" w:hAnsi="宋体" w:cs="宋体" w:hint="eastAsia"/>
        </w:rPr>
        <w:t>调整</w:t>
      </w:r>
      <w:r w:rsidR="00E31B75" w:rsidRPr="00E31B75">
        <w:t>-</w:t>
      </w:r>
      <w:r w:rsidR="00E31B75" w:rsidRPr="00E31B75">
        <w:rPr>
          <w:rFonts w:ascii="宋体" w:eastAsia="宋体" w:hAnsi="宋体" w:cs="宋体" w:hint="eastAsia"/>
        </w:rPr>
        <w:t>表示</w:t>
      </w:r>
      <w:r w:rsidR="00E31B75" w:rsidRPr="00E31B75">
        <w:t>“</w:t>
      </w:r>
      <w:r w:rsidR="00E31B75" w:rsidRPr="00E31B75">
        <w:rPr>
          <w:rFonts w:ascii="宋体" w:eastAsia="宋体" w:hAnsi="宋体" w:cs="宋体" w:hint="eastAsia"/>
        </w:rPr>
        <w:t>在计算机上或通过计算机模拟执行</w:t>
      </w:r>
      <w:r w:rsidR="00E31B75" w:rsidRPr="00E31B75">
        <w:t>”</w:t>
      </w:r>
      <w:r w:rsidRPr="00E31B75">
        <w:t>.</w:t>
      </w:r>
    </w:p>
    <w:p w14:paraId="7CE8480A" w14:textId="62035E3A" w:rsidR="00E31B75" w:rsidRPr="00E31B75" w:rsidRDefault="00284695" w:rsidP="00E31B75">
      <w:pPr>
        <w:spacing w:after="100"/>
        <w:ind w:left="-15"/>
      </w:pPr>
      <w:r w:rsidRPr="00E31B75">
        <w:t xml:space="preserve">3.1.19 </w:t>
      </w:r>
      <w:r w:rsidR="00E31B75" w:rsidRPr="00E31B75">
        <w:rPr>
          <w:rFonts w:ascii="宋体" w:eastAsia="宋体" w:hAnsi="宋体" w:cs="宋体" w:hint="eastAsia"/>
        </w:rPr>
        <w:t>体外，</w:t>
      </w:r>
      <w:r w:rsidR="00544D6C">
        <w:rPr>
          <w:rFonts w:ascii="宋体" w:eastAsia="宋体" w:hAnsi="宋体" w:cs="宋体" w:hint="eastAsia"/>
        </w:rPr>
        <w:t>调整</w:t>
      </w:r>
      <w:r w:rsidR="00E31B75" w:rsidRPr="00E31B75">
        <w:t>-</w:t>
      </w:r>
      <w:r w:rsidR="00E31B75" w:rsidRPr="00E31B75">
        <w:rPr>
          <w:rFonts w:ascii="宋体" w:eastAsia="宋体" w:hAnsi="宋体" w:cs="宋体" w:hint="eastAsia"/>
        </w:rPr>
        <w:t>在正常生物学范围之外对细胞或生物分子进行的研究，例如，溶液中评估的蛋白质或人工培养基中的细胞。</w:t>
      </w:r>
    </w:p>
    <w:p w14:paraId="76209613" w14:textId="77777777" w:rsidR="00E31B75" w:rsidRPr="00E31B75" w:rsidRDefault="00E31B75" w:rsidP="00E31B75">
      <w:pPr>
        <w:spacing w:after="100"/>
        <w:ind w:left="-15"/>
      </w:pPr>
      <w:r w:rsidRPr="00E31B75">
        <w:t>3.1.20</w:t>
      </w:r>
      <w:r w:rsidRPr="00544D6C">
        <w:rPr>
          <w:rFonts w:ascii="宋体" w:eastAsia="宋体" w:hAnsi="宋体" w:cs="宋体" w:hint="eastAsia"/>
          <w:b/>
          <w:bCs/>
          <w:highlight w:val="yellow"/>
        </w:rPr>
        <w:t>最低观察到的不良反应水平，</w:t>
      </w:r>
      <w:r w:rsidRPr="00544D6C">
        <w:rPr>
          <w:b/>
          <w:bCs/>
          <w:highlight w:val="yellow"/>
        </w:rPr>
        <w:t>LOAEL</w:t>
      </w:r>
      <w:r w:rsidRPr="00E31B75">
        <w:rPr>
          <w:rFonts w:ascii="宋体" w:eastAsia="宋体" w:hAnsi="宋体" w:cs="宋体" w:hint="eastAsia"/>
        </w:rPr>
        <w:t>，</w:t>
      </w:r>
      <w:r w:rsidRPr="00E31B75">
        <w:t>n-</w:t>
      </w:r>
      <w:r w:rsidRPr="00E31B75">
        <w:rPr>
          <w:rFonts w:ascii="宋体" w:eastAsia="宋体" w:hAnsi="宋体" w:cs="宋体" w:hint="eastAsia"/>
        </w:rPr>
        <w:t>在一项研究中的最低暴露水平，在该研究中，暴露人群与其适当对照组之间的不良反应发生频率或严重程度在统计学或生物学上都有显着变化。</w:t>
      </w:r>
      <w:r w:rsidRPr="00E31B75">
        <w:t xml:space="preserve"> </w:t>
      </w:r>
      <w:r w:rsidRPr="00E31B75">
        <w:rPr>
          <w:rFonts w:ascii="宋体" w:eastAsia="宋体" w:hAnsi="宋体" w:cs="宋体" w:hint="eastAsia"/>
        </w:rPr>
        <w:t>（</w:t>
      </w:r>
      <w:r w:rsidRPr="00E31B75">
        <w:t>8</w:t>
      </w:r>
      <w:r w:rsidRPr="00E31B75">
        <w:rPr>
          <w:rFonts w:ascii="宋体" w:eastAsia="宋体" w:hAnsi="宋体" w:cs="宋体" w:hint="eastAsia"/>
        </w:rPr>
        <w:t>）</w:t>
      </w:r>
    </w:p>
    <w:p w14:paraId="5B2A4D36" w14:textId="77777777" w:rsidR="00E31B75" w:rsidRPr="00E31B75" w:rsidRDefault="00E31B75" w:rsidP="00E31B75">
      <w:pPr>
        <w:spacing w:after="100"/>
        <w:ind w:left="-15"/>
      </w:pPr>
      <w:r w:rsidRPr="00E31B75">
        <w:t>3.1.21</w:t>
      </w:r>
      <w:r w:rsidRPr="00544D6C">
        <w:rPr>
          <w:rFonts w:ascii="宋体" w:eastAsia="宋体" w:hAnsi="宋体" w:cs="宋体" w:hint="eastAsia"/>
          <w:b/>
          <w:bCs/>
          <w:highlight w:val="yellow"/>
        </w:rPr>
        <w:t>最低观察到的效应水平，</w:t>
      </w:r>
      <w:r w:rsidRPr="00544D6C">
        <w:rPr>
          <w:b/>
          <w:bCs/>
          <w:highlight w:val="yellow"/>
        </w:rPr>
        <w:t>LOEL</w:t>
      </w:r>
      <w:r w:rsidRPr="00E31B75">
        <w:rPr>
          <w:rFonts w:ascii="宋体" w:eastAsia="宋体" w:hAnsi="宋体" w:cs="宋体" w:hint="eastAsia"/>
        </w:rPr>
        <w:t>，</w:t>
      </w:r>
      <w:r w:rsidRPr="00E31B75">
        <w:t>n-</w:t>
      </w:r>
      <w:r w:rsidRPr="00E31B75">
        <w:rPr>
          <w:rFonts w:ascii="宋体" w:eastAsia="宋体" w:hAnsi="宋体" w:cs="宋体" w:hint="eastAsia"/>
        </w:rPr>
        <w:t>一项研究中的最低剂量或暴露水平，在该研究中，与适当的未暴露对照组相比，该暴露或暴露水平与适当的未暴露对照组相比在统计学或生物学上均具有显着效果其适当的对照组。</w:t>
      </w:r>
      <w:r w:rsidRPr="00E31B75">
        <w:t xml:space="preserve"> </w:t>
      </w:r>
      <w:r w:rsidRPr="00E31B75">
        <w:rPr>
          <w:rFonts w:ascii="宋体" w:eastAsia="宋体" w:hAnsi="宋体" w:cs="宋体" w:hint="eastAsia"/>
        </w:rPr>
        <w:t>（</w:t>
      </w:r>
      <w:r w:rsidRPr="00E31B75">
        <w:t>8</w:t>
      </w:r>
      <w:r w:rsidRPr="00E31B75">
        <w:rPr>
          <w:rFonts w:ascii="宋体" w:eastAsia="宋体" w:hAnsi="宋体" w:cs="宋体" w:hint="eastAsia"/>
        </w:rPr>
        <w:t>）</w:t>
      </w:r>
    </w:p>
    <w:p w14:paraId="00E109A1" w14:textId="77777777" w:rsidR="00E31B75" w:rsidRPr="00E31B75" w:rsidRDefault="00E31B75" w:rsidP="00E31B75">
      <w:pPr>
        <w:spacing w:after="100"/>
        <w:ind w:left="-15"/>
      </w:pPr>
      <w:r w:rsidRPr="00E31B75">
        <w:t>3.1.22</w:t>
      </w:r>
      <w:r w:rsidRPr="00E31B75">
        <w:rPr>
          <w:rFonts w:ascii="宋体" w:eastAsia="宋体" w:hAnsi="宋体" w:cs="宋体" w:hint="eastAsia"/>
        </w:rPr>
        <w:t>安全裕度</w:t>
      </w:r>
      <w:r w:rsidRPr="00E31B75">
        <w:t>MOS</w:t>
      </w:r>
      <w:r w:rsidRPr="00E31B75">
        <w:rPr>
          <w:rFonts w:ascii="宋体" w:eastAsia="宋体" w:hAnsi="宋体" w:cs="宋体" w:hint="eastAsia"/>
        </w:rPr>
        <w:t>，</w:t>
      </w:r>
      <w:r w:rsidRPr="00E31B75">
        <w:t>n-HBEL</w:t>
      </w:r>
      <w:r w:rsidRPr="00E31B75">
        <w:rPr>
          <w:rFonts w:ascii="宋体" w:eastAsia="宋体" w:hAnsi="宋体" w:cs="宋体" w:hint="eastAsia"/>
        </w:rPr>
        <w:t>与估计暴露的比率。</w:t>
      </w:r>
      <w:r w:rsidRPr="00E31B75">
        <w:t xml:space="preserve"> </w:t>
      </w:r>
      <w:r w:rsidRPr="00E31B75">
        <w:rPr>
          <w:rFonts w:ascii="宋体" w:eastAsia="宋体" w:hAnsi="宋体" w:cs="宋体" w:hint="eastAsia"/>
        </w:rPr>
        <w:t>（</w:t>
      </w:r>
      <w:r w:rsidRPr="00E31B75">
        <w:t>13</w:t>
      </w:r>
      <w:r w:rsidRPr="00E31B75">
        <w:rPr>
          <w:rFonts w:ascii="宋体" w:eastAsia="宋体" w:hAnsi="宋体" w:cs="宋体" w:hint="eastAsia"/>
        </w:rPr>
        <w:t>）</w:t>
      </w:r>
    </w:p>
    <w:p w14:paraId="63F2EF08" w14:textId="543B2660" w:rsidR="0026097E" w:rsidRPr="00E31B75" w:rsidRDefault="00E31B75" w:rsidP="00E31B75">
      <w:pPr>
        <w:spacing w:after="100"/>
        <w:ind w:left="-15"/>
      </w:pPr>
      <w:r w:rsidRPr="00E31B75">
        <w:t>3.1.23</w:t>
      </w:r>
      <w:r w:rsidRPr="00E31B75">
        <w:rPr>
          <w:rFonts w:ascii="宋体" w:eastAsia="宋体" w:hAnsi="宋体" w:cs="宋体" w:hint="eastAsia"/>
        </w:rPr>
        <w:t>作用机理，</w:t>
      </w:r>
      <w:r w:rsidRPr="00E31B75">
        <w:t>n-</w:t>
      </w:r>
      <w:r w:rsidRPr="00E31B75">
        <w:rPr>
          <w:rFonts w:ascii="宋体" w:eastAsia="宋体" w:hAnsi="宋体" w:cs="宋体" w:hint="eastAsia"/>
        </w:rPr>
        <w:t>通常在分子水平上详细描述一种试剂引起疾病或其他不良作用的方式</w:t>
      </w:r>
      <w:r w:rsidR="00284695" w:rsidRPr="00E31B75">
        <w:t xml:space="preserve">. </w:t>
      </w:r>
      <w:r w:rsidR="00284695" w:rsidRPr="00E31B75">
        <w:rPr>
          <w:b/>
        </w:rPr>
        <w:t>(</w:t>
      </w:r>
      <w:r w:rsidR="00284695" w:rsidRPr="00E31B75">
        <w:rPr>
          <w:b/>
          <w:color w:val="C1151A"/>
        </w:rPr>
        <w:t>16</w:t>
      </w:r>
      <w:r w:rsidR="00284695" w:rsidRPr="00E31B75">
        <w:rPr>
          <w:b/>
        </w:rPr>
        <w:t>)</w:t>
      </w:r>
    </w:p>
    <w:p w14:paraId="2BF16067" w14:textId="1B2AFEA3" w:rsidR="0026097E" w:rsidRPr="00E31B75" w:rsidRDefault="00284695" w:rsidP="00E31B75">
      <w:pPr>
        <w:ind w:left="-15"/>
      </w:pPr>
      <w:r w:rsidRPr="00E31B75">
        <w:t xml:space="preserve">3.1.23.1 </w:t>
      </w:r>
      <w:r w:rsidR="00E31B75" w:rsidRPr="00E31B75">
        <w:rPr>
          <w:rFonts w:ascii="宋体" w:eastAsia="宋体" w:hAnsi="宋体" w:cs="宋体" w:hint="eastAsia"/>
        </w:rPr>
        <w:t>讨论</w:t>
      </w:r>
      <w:r w:rsidR="00E31B75" w:rsidRPr="00E31B75">
        <w:t>-</w:t>
      </w:r>
      <w:r w:rsidR="00E31B75" w:rsidRPr="00E31B75">
        <w:rPr>
          <w:rFonts w:ascii="宋体" w:eastAsia="宋体" w:hAnsi="宋体" w:cs="宋体" w:hint="eastAsia"/>
        </w:rPr>
        <w:t>术语</w:t>
      </w:r>
      <w:r w:rsidR="00E31B75" w:rsidRPr="00E31B75">
        <w:t>“</w:t>
      </w:r>
      <w:r w:rsidR="00E31B75" w:rsidRPr="00E31B75">
        <w:rPr>
          <w:rFonts w:ascii="宋体" w:eastAsia="宋体" w:hAnsi="宋体" w:cs="宋体" w:hint="eastAsia"/>
        </w:rPr>
        <w:t>作用机理</w:t>
      </w:r>
      <w:r w:rsidR="00E31B75" w:rsidRPr="00E31B75">
        <w:t>”</w:t>
      </w:r>
      <w:r w:rsidR="00E31B75" w:rsidRPr="00E31B75">
        <w:rPr>
          <w:rFonts w:ascii="宋体" w:eastAsia="宋体" w:hAnsi="宋体" w:cs="宋体" w:hint="eastAsia"/>
        </w:rPr>
        <w:t>比起作用方式意味着对事件的更详细的理解和描述，通常在分子水平上</w:t>
      </w:r>
      <w:r w:rsidRPr="00E31B75">
        <w:rPr>
          <w:b/>
        </w:rPr>
        <w:t>(</w:t>
      </w:r>
      <w:r w:rsidRPr="00E31B75">
        <w:rPr>
          <w:b/>
          <w:color w:val="C1151A"/>
        </w:rPr>
        <w:t>17</w:t>
      </w:r>
      <w:r w:rsidRPr="00E31B75">
        <w:rPr>
          <w:b/>
        </w:rPr>
        <w:t>)</w:t>
      </w:r>
      <w:r w:rsidRPr="00E31B75">
        <w:t>.</w:t>
      </w:r>
    </w:p>
    <w:p w14:paraId="660C1C5E" w14:textId="4FE28506" w:rsidR="0026097E" w:rsidRPr="00E31B75" w:rsidRDefault="00284695">
      <w:pPr>
        <w:spacing w:after="164"/>
        <w:ind w:left="-15"/>
      </w:pPr>
      <w:r w:rsidRPr="00E31B75">
        <w:t xml:space="preserve">3.1.24 </w:t>
      </w:r>
      <w:r w:rsidR="00E31B75" w:rsidRPr="00E31B75">
        <w:rPr>
          <w:rFonts w:ascii="宋体" w:eastAsia="宋体" w:hAnsi="宋体" w:cs="宋体" w:hint="eastAsia"/>
        </w:rPr>
        <w:t>作用方式，</w:t>
      </w:r>
      <w:r w:rsidR="00E31B75" w:rsidRPr="00E31B75">
        <w:t>n-</w:t>
      </w:r>
      <w:r w:rsidR="00E31B75" w:rsidRPr="00E31B75">
        <w:rPr>
          <w:rFonts w:ascii="宋体" w:eastAsia="宋体" w:hAnsi="宋体" w:cs="宋体" w:hint="eastAsia"/>
        </w:rPr>
        <w:t>关键事件和过程的顺序，从代理与细胞的相互作用开始，一直到操作和解剖上的变化，并导致不利影响。</w:t>
      </w:r>
      <w:r w:rsidRPr="00E31B75">
        <w:t xml:space="preserve"> </w:t>
      </w:r>
      <w:r w:rsidRPr="00E31B75">
        <w:rPr>
          <w:b/>
        </w:rPr>
        <w:t>(</w:t>
      </w:r>
      <w:r w:rsidRPr="00E31B75">
        <w:rPr>
          <w:b/>
          <w:color w:val="C1151A"/>
        </w:rPr>
        <w:t>16</w:t>
      </w:r>
      <w:r w:rsidRPr="00E31B75">
        <w:rPr>
          <w:b/>
        </w:rPr>
        <w:t xml:space="preserve">, </w:t>
      </w:r>
      <w:r w:rsidRPr="00E31B75">
        <w:rPr>
          <w:b/>
          <w:color w:val="C1151A"/>
        </w:rPr>
        <w:t>17</w:t>
      </w:r>
      <w:r w:rsidRPr="00E31B75">
        <w:rPr>
          <w:b/>
        </w:rPr>
        <w:t>)</w:t>
      </w:r>
    </w:p>
    <w:p w14:paraId="79A930E4" w14:textId="4283EE9D" w:rsidR="0026097E" w:rsidRPr="00E31B75" w:rsidRDefault="00284695">
      <w:pPr>
        <w:spacing w:after="45"/>
        <w:ind w:left="-15"/>
      </w:pPr>
      <w:r w:rsidRPr="00E31B75">
        <w:t xml:space="preserve">3.1.24.1 </w:t>
      </w:r>
      <w:r w:rsidR="00E31B75" w:rsidRPr="00E31B75">
        <w:rPr>
          <w:rFonts w:ascii="宋体" w:eastAsia="宋体" w:hAnsi="宋体" w:cs="宋体" w:hint="eastAsia"/>
        </w:rPr>
        <w:t>讨论</w:t>
      </w:r>
      <w:r w:rsidR="00E31B75" w:rsidRPr="00E31B75">
        <w:t>—“</w:t>
      </w:r>
      <w:r w:rsidR="00E31B75" w:rsidRPr="00E31B75">
        <w:rPr>
          <w:rFonts w:ascii="宋体" w:eastAsia="宋体" w:hAnsi="宋体" w:cs="宋体" w:hint="eastAsia"/>
        </w:rPr>
        <w:t>关键事件</w:t>
      </w:r>
      <w:r w:rsidR="00E31B75" w:rsidRPr="00E31B75">
        <w:t>”</w:t>
      </w:r>
      <w:r w:rsidR="00E31B75" w:rsidRPr="00E31B75">
        <w:rPr>
          <w:rFonts w:ascii="宋体" w:eastAsia="宋体" w:hAnsi="宋体" w:cs="宋体" w:hint="eastAsia"/>
        </w:rPr>
        <w:t>是根据经验可观察到的前体步骤，它本身就是作用方式的必要元素或该元素的生物学基础标记</w:t>
      </w:r>
      <w:r w:rsidRPr="00E31B75">
        <w:t xml:space="preserve"> </w:t>
      </w:r>
      <w:r w:rsidRPr="00E31B75">
        <w:rPr>
          <w:b/>
        </w:rPr>
        <w:t>(</w:t>
      </w:r>
      <w:r w:rsidRPr="00E31B75">
        <w:rPr>
          <w:b/>
          <w:color w:val="C1151A"/>
        </w:rPr>
        <w:t>17</w:t>
      </w:r>
      <w:r w:rsidRPr="00E31B75">
        <w:rPr>
          <w:b/>
        </w:rPr>
        <w:t>)</w:t>
      </w:r>
      <w:r w:rsidRPr="00E31B75">
        <w:t>.</w:t>
      </w:r>
    </w:p>
    <w:p w14:paraId="3DCB9A8E" w14:textId="77777777" w:rsidR="00E31B75" w:rsidRPr="00E31B75" w:rsidRDefault="00284695" w:rsidP="00E31B75">
      <w:pPr>
        <w:spacing w:after="105"/>
        <w:ind w:left="-15"/>
      </w:pPr>
      <w:r w:rsidRPr="00E31B75">
        <w:t>3.1.25</w:t>
      </w:r>
      <w:r w:rsidR="00E31B75" w:rsidRPr="00544D6C">
        <w:rPr>
          <w:rFonts w:ascii="宋体" w:eastAsia="宋体" w:hAnsi="宋体" w:cs="宋体" w:hint="eastAsia"/>
          <w:b/>
          <w:bCs/>
          <w:highlight w:val="yellow"/>
        </w:rPr>
        <w:t>无观察到的不利影响水平，</w:t>
      </w:r>
      <w:r w:rsidR="00E31B75" w:rsidRPr="00544D6C">
        <w:rPr>
          <w:b/>
          <w:bCs/>
          <w:highlight w:val="yellow"/>
        </w:rPr>
        <w:t>NOAE</w:t>
      </w:r>
      <w:r w:rsidR="00E31B75" w:rsidRPr="00544D6C">
        <w:rPr>
          <w:highlight w:val="yellow"/>
        </w:rPr>
        <w:t>L</w:t>
      </w:r>
      <w:r w:rsidR="00E31B75" w:rsidRPr="00E31B75">
        <w:rPr>
          <w:rFonts w:ascii="宋体" w:eastAsia="宋体" w:hAnsi="宋体" w:cs="宋体" w:hint="eastAsia"/>
        </w:rPr>
        <w:t>，</w:t>
      </w:r>
      <w:r w:rsidR="00E31B75" w:rsidRPr="00E31B75">
        <w:t>n-</w:t>
      </w:r>
      <w:r w:rsidR="00E31B75" w:rsidRPr="00E31B75">
        <w:rPr>
          <w:rFonts w:ascii="宋体" w:eastAsia="宋体" w:hAnsi="宋体" w:cs="宋体" w:hint="eastAsia"/>
        </w:rPr>
        <w:t>最高暴露水平，在该水平下，受暴露人群与其适当控制之间的不利影响的频率或严重程度没有生物学上的显着增加；可能会产生一些影响，但不认为它们是不利的或不利影响的先兆。</w:t>
      </w:r>
      <w:r w:rsidR="00E31B75" w:rsidRPr="00E31B75">
        <w:t xml:space="preserve"> </w:t>
      </w:r>
      <w:r w:rsidR="00E31B75" w:rsidRPr="00E31B75">
        <w:rPr>
          <w:rFonts w:ascii="宋体" w:eastAsia="宋体" w:hAnsi="宋体" w:cs="宋体" w:hint="eastAsia"/>
        </w:rPr>
        <w:t>（</w:t>
      </w:r>
      <w:r w:rsidR="00E31B75" w:rsidRPr="00E31B75">
        <w:t>8</w:t>
      </w:r>
      <w:r w:rsidR="00E31B75" w:rsidRPr="00E31B75">
        <w:rPr>
          <w:rFonts w:ascii="宋体" w:eastAsia="宋体" w:hAnsi="宋体" w:cs="宋体" w:hint="eastAsia"/>
        </w:rPr>
        <w:t>）</w:t>
      </w:r>
    </w:p>
    <w:p w14:paraId="46F501BE" w14:textId="77777777" w:rsidR="00E31B75" w:rsidRPr="00E31B75" w:rsidRDefault="00E31B75" w:rsidP="00E31B75">
      <w:pPr>
        <w:spacing w:after="105"/>
        <w:ind w:left="-15"/>
      </w:pPr>
      <w:r w:rsidRPr="00E31B75">
        <w:t>3.1.26</w:t>
      </w:r>
      <w:r w:rsidRPr="00544D6C">
        <w:rPr>
          <w:rFonts w:ascii="宋体" w:eastAsia="宋体" w:hAnsi="宋体" w:cs="宋体" w:hint="eastAsia"/>
          <w:b/>
          <w:bCs/>
          <w:highlight w:val="yellow"/>
        </w:rPr>
        <w:t>没有观察到的效应水平，</w:t>
      </w:r>
      <w:r w:rsidRPr="00544D6C">
        <w:rPr>
          <w:b/>
          <w:bCs/>
          <w:highlight w:val="yellow"/>
        </w:rPr>
        <w:t>NOEL</w:t>
      </w:r>
      <w:r w:rsidRPr="00E31B75">
        <w:rPr>
          <w:rFonts w:ascii="宋体" w:eastAsia="宋体" w:hAnsi="宋体" w:cs="宋体" w:hint="eastAsia"/>
        </w:rPr>
        <w:t>，</w:t>
      </w:r>
      <w:r w:rsidRPr="00E31B75">
        <w:t>n-</w:t>
      </w:r>
      <w:r w:rsidRPr="00E31B75">
        <w:rPr>
          <w:rFonts w:ascii="宋体" w:eastAsia="宋体" w:hAnsi="宋体" w:cs="宋体" w:hint="eastAsia"/>
        </w:rPr>
        <w:t>暴露水平，在该水平上暴露人群与其适当对照之间任何效应的频率或严重性没有统计学上或生物学上的显着增加。</w:t>
      </w:r>
      <w:r w:rsidRPr="00E31B75">
        <w:t xml:space="preserve"> </w:t>
      </w:r>
      <w:r w:rsidRPr="00E31B75">
        <w:rPr>
          <w:rFonts w:ascii="宋体" w:eastAsia="宋体" w:hAnsi="宋体" w:cs="宋体" w:hint="eastAsia"/>
        </w:rPr>
        <w:t>（</w:t>
      </w:r>
      <w:r w:rsidRPr="00E31B75">
        <w:t>8</w:t>
      </w:r>
      <w:r w:rsidRPr="00E31B75">
        <w:rPr>
          <w:rFonts w:ascii="宋体" w:eastAsia="宋体" w:hAnsi="宋体" w:cs="宋体" w:hint="eastAsia"/>
        </w:rPr>
        <w:t>）</w:t>
      </w:r>
    </w:p>
    <w:p w14:paraId="4050ACCA" w14:textId="77777777" w:rsidR="00E31B75" w:rsidRPr="00E31B75" w:rsidRDefault="00E31B75" w:rsidP="00E31B75">
      <w:pPr>
        <w:spacing w:after="105"/>
        <w:ind w:left="-15"/>
      </w:pPr>
      <w:r w:rsidRPr="00E31B75">
        <w:lastRenderedPageBreak/>
        <w:t>3.1.27</w:t>
      </w:r>
      <w:r w:rsidRPr="00E31B75">
        <w:rPr>
          <w:rFonts w:ascii="宋体" w:eastAsia="宋体" w:hAnsi="宋体" w:cs="宋体" w:hint="eastAsia"/>
        </w:rPr>
        <w:t>非处方非处方药（</w:t>
      </w:r>
      <w:r w:rsidRPr="00E31B75">
        <w:t>OTC</w:t>
      </w:r>
      <w:r w:rsidRPr="00E31B75">
        <w:rPr>
          <w:rFonts w:ascii="宋体" w:eastAsia="宋体" w:hAnsi="宋体" w:cs="宋体" w:hint="eastAsia"/>
        </w:rPr>
        <w:t>），</w:t>
      </w:r>
      <w:r w:rsidRPr="00E31B75">
        <w:t>n</w:t>
      </w:r>
      <w:r w:rsidRPr="00E31B75">
        <w:rPr>
          <w:rFonts w:ascii="宋体" w:eastAsia="宋体" w:hAnsi="宋体" w:cs="宋体" w:hint="eastAsia"/>
        </w:rPr>
        <w:t>药物，无需医护专业人员的处方就直接出售给消费者。</w:t>
      </w:r>
    </w:p>
    <w:p w14:paraId="7201A842" w14:textId="77777777" w:rsidR="00E31B75" w:rsidRPr="00E31B75" w:rsidRDefault="00E31B75" w:rsidP="00E31B75">
      <w:pPr>
        <w:spacing w:after="105"/>
        <w:ind w:left="-15"/>
      </w:pPr>
      <w:r w:rsidRPr="00E31B75">
        <w:t>3.1.28</w:t>
      </w:r>
      <w:r w:rsidRPr="00544D6C">
        <w:rPr>
          <w:rFonts w:ascii="宋体" w:eastAsia="宋体" w:hAnsi="宋体" w:cs="宋体" w:hint="eastAsia"/>
          <w:highlight w:val="yellow"/>
        </w:rPr>
        <w:t>允许的每日暴露量，</w:t>
      </w:r>
      <w:r w:rsidRPr="00544D6C">
        <w:rPr>
          <w:highlight w:val="yellow"/>
        </w:rPr>
        <w:t>PDE</w:t>
      </w:r>
      <w:r w:rsidRPr="00544D6C">
        <w:rPr>
          <w:rFonts w:ascii="宋体" w:eastAsia="宋体" w:hAnsi="宋体" w:cs="宋体" w:hint="eastAsia"/>
          <w:highlight w:val="yellow"/>
        </w:rPr>
        <w:t>，</w:t>
      </w:r>
      <w:r w:rsidRPr="00544D6C">
        <w:rPr>
          <w:highlight w:val="yellow"/>
        </w:rPr>
        <w:t>n-</w:t>
      </w:r>
      <w:r w:rsidRPr="00544D6C">
        <w:rPr>
          <w:rFonts w:ascii="宋体" w:eastAsia="宋体" w:hAnsi="宋体" w:cs="宋体" w:hint="eastAsia"/>
          <w:highlight w:val="yellow"/>
        </w:rPr>
        <w:t>此术语基于健康的暴露量限制（</w:t>
      </w:r>
      <w:r w:rsidRPr="00544D6C">
        <w:rPr>
          <w:highlight w:val="yellow"/>
        </w:rPr>
        <w:t>HBEL</w:t>
      </w:r>
      <w:r w:rsidRPr="00544D6C">
        <w:rPr>
          <w:rFonts w:ascii="宋体" w:eastAsia="宋体" w:hAnsi="宋体" w:cs="宋体" w:hint="eastAsia"/>
          <w:highlight w:val="yellow"/>
        </w:rPr>
        <w:t>）与可接受的每日暴露量（</w:t>
      </w:r>
      <w:r w:rsidRPr="00544D6C">
        <w:rPr>
          <w:highlight w:val="yellow"/>
        </w:rPr>
        <w:t>ADE</w:t>
      </w:r>
      <w:r w:rsidRPr="00544D6C">
        <w:rPr>
          <w:rFonts w:ascii="宋体" w:eastAsia="宋体" w:hAnsi="宋体" w:cs="宋体" w:hint="eastAsia"/>
          <w:highlight w:val="yellow"/>
        </w:rPr>
        <w:t>）同义；有关详细信息</w:t>
      </w:r>
      <w:r w:rsidRPr="00E31B75">
        <w:rPr>
          <w:rFonts w:ascii="宋体" w:eastAsia="宋体" w:hAnsi="宋体" w:cs="宋体" w:hint="eastAsia"/>
        </w:rPr>
        <w:t>，请参见</w:t>
      </w:r>
      <w:r w:rsidRPr="00E31B75">
        <w:t>HBEL</w:t>
      </w:r>
      <w:r w:rsidRPr="00E31B75">
        <w:rPr>
          <w:rFonts w:ascii="宋体" w:eastAsia="宋体" w:hAnsi="宋体" w:cs="宋体" w:hint="eastAsia"/>
        </w:rPr>
        <w:t>。</w:t>
      </w:r>
    </w:p>
    <w:p w14:paraId="44A0D4E0" w14:textId="77777777" w:rsidR="00E31B75" w:rsidRPr="00E31B75" w:rsidRDefault="00E31B75" w:rsidP="00E31B75">
      <w:pPr>
        <w:spacing w:after="105"/>
        <w:ind w:left="-15"/>
      </w:pPr>
      <w:r w:rsidRPr="00E31B75">
        <w:t>3.1.29</w:t>
      </w:r>
      <w:r w:rsidRPr="00E31B75">
        <w:rPr>
          <w:rFonts w:ascii="宋体" w:eastAsia="宋体" w:hAnsi="宋体" w:cs="宋体" w:hint="eastAsia"/>
        </w:rPr>
        <w:t>药效学，</w:t>
      </w:r>
      <w:r w:rsidRPr="00E31B75">
        <w:t>n-</w:t>
      </w:r>
      <w:r w:rsidRPr="00E31B75">
        <w:rPr>
          <w:rFonts w:ascii="宋体" w:eastAsia="宋体" w:hAnsi="宋体" w:cs="宋体" w:hint="eastAsia"/>
        </w:rPr>
        <w:t>源自毒理学动力学；描述并</w:t>
      </w:r>
      <w:proofErr w:type="gramStart"/>
      <w:r w:rsidRPr="00E31B75">
        <w:rPr>
          <w:rFonts w:ascii="宋体" w:eastAsia="宋体" w:hAnsi="宋体" w:cs="宋体" w:hint="eastAsia"/>
        </w:rPr>
        <w:t>量化在靶位点</w:t>
      </w:r>
      <w:proofErr w:type="gramEnd"/>
      <w:r w:rsidRPr="00E31B75">
        <w:rPr>
          <w:rFonts w:ascii="宋体" w:eastAsia="宋体" w:hAnsi="宋体" w:cs="宋体" w:hint="eastAsia"/>
        </w:rPr>
        <w:t>上导致对药物的药理反应的细胞和分子事件的序列。</w:t>
      </w:r>
    </w:p>
    <w:p w14:paraId="69137A9A" w14:textId="77777777" w:rsidR="00E31B75" w:rsidRPr="00E31B75" w:rsidRDefault="00E31B75" w:rsidP="00E31B75">
      <w:pPr>
        <w:spacing w:after="105"/>
        <w:ind w:left="-15"/>
      </w:pPr>
      <w:r w:rsidRPr="00E31B75">
        <w:t>3.1.30</w:t>
      </w:r>
      <w:r w:rsidRPr="00E31B75">
        <w:rPr>
          <w:rFonts w:ascii="宋体" w:eastAsia="宋体" w:hAnsi="宋体" w:cs="宋体" w:hint="eastAsia"/>
        </w:rPr>
        <w:t>药代动力学，</w:t>
      </w:r>
      <w:r w:rsidRPr="00E31B75">
        <w:t>n-</w:t>
      </w:r>
      <w:r w:rsidRPr="00E31B75">
        <w:rPr>
          <w:rFonts w:ascii="宋体" w:eastAsia="宋体" w:hAnsi="宋体" w:cs="宋体" w:hint="eastAsia"/>
        </w:rPr>
        <w:t>来自毒物动力学；描述和量化药物吸收，分布，生物转化和排泄的时间过程。</w:t>
      </w:r>
    </w:p>
    <w:p w14:paraId="250F1BFC" w14:textId="2B534EFF" w:rsidR="0026097E" w:rsidRPr="00E31B75" w:rsidRDefault="00E31B75" w:rsidP="00E31B75">
      <w:pPr>
        <w:spacing w:after="105"/>
        <w:ind w:left="-15"/>
      </w:pPr>
      <w:r w:rsidRPr="00E31B75">
        <w:t>3.1.31</w:t>
      </w:r>
      <w:r w:rsidRPr="00E31B75">
        <w:rPr>
          <w:rFonts w:ascii="宋体" w:eastAsia="宋体" w:hAnsi="宋体" w:cs="宋体" w:hint="eastAsia"/>
        </w:rPr>
        <w:t>出发点，</w:t>
      </w:r>
      <w:proofErr w:type="spellStart"/>
      <w:r w:rsidRPr="00E31B75">
        <w:t>PoD</w:t>
      </w:r>
      <w:proofErr w:type="spellEnd"/>
      <w:r w:rsidRPr="00E31B75">
        <w:rPr>
          <w:rFonts w:ascii="宋体" w:eastAsia="宋体" w:hAnsi="宋体" w:cs="宋体" w:hint="eastAsia"/>
        </w:rPr>
        <w:t>，</w:t>
      </w:r>
      <w:r w:rsidRPr="00E31B75">
        <w:t>n-</w:t>
      </w:r>
      <w:r w:rsidRPr="00E31B75">
        <w:rPr>
          <w:rFonts w:ascii="宋体" w:eastAsia="宋体" w:hAnsi="宋体" w:cs="宋体" w:hint="eastAsia"/>
        </w:rPr>
        <w:t>剂量</w:t>
      </w:r>
      <w:r w:rsidRPr="00E31B75">
        <w:t>-</w:t>
      </w:r>
      <w:r w:rsidRPr="00E31B75">
        <w:rPr>
          <w:rFonts w:ascii="宋体" w:eastAsia="宋体" w:hAnsi="宋体" w:cs="宋体" w:hint="eastAsia"/>
        </w:rPr>
        <w:t>反应点，标志着低剂量外推法的开始，以得出</w:t>
      </w:r>
      <w:r w:rsidRPr="00E31B75">
        <w:t>HBEL</w:t>
      </w:r>
      <w:r w:rsidR="00284695" w:rsidRPr="00E31B75">
        <w:t xml:space="preserve">. </w:t>
      </w:r>
      <w:r w:rsidR="00284695" w:rsidRPr="00E31B75">
        <w:rPr>
          <w:b/>
        </w:rPr>
        <w:t>(</w:t>
      </w:r>
      <w:r w:rsidR="00284695" w:rsidRPr="00E31B75">
        <w:rPr>
          <w:b/>
          <w:color w:val="C1151A"/>
        </w:rPr>
        <w:t>8</w:t>
      </w:r>
      <w:r w:rsidR="00284695" w:rsidRPr="00E31B75">
        <w:rPr>
          <w:b/>
        </w:rPr>
        <w:t>)</w:t>
      </w:r>
    </w:p>
    <w:p w14:paraId="4FB14B31" w14:textId="77A675D2" w:rsidR="0026097E" w:rsidRPr="00E31B75" w:rsidRDefault="00284695">
      <w:pPr>
        <w:ind w:left="-15"/>
      </w:pPr>
      <w:r w:rsidRPr="00E31B75">
        <w:t xml:space="preserve">3.1.31.1 </w:t>
      </w:r>
      <w:r w:rsidR="00E31B75" w:rsidRPr="00E31B75">
        <w:rPr>
          <w:rFonts w:ascii="宋体" w:eastAsia="宋体" w:hAnsi="宋体" w:cs="宋体" w:hint="eastAsia"/>
        </w:rPr>
        <w:t>讨论</w:t>
      </w:r>
      <w:proofErr w:type="gramStart"/>
      <w:r w:rsidR="00E31B75" w:rsidRPr="00E31B75">
        <w:t>—</w:t>
      </w:r>
      <w:r w:rsidR="00E31B75" w:rsidRPr="00E31B75">
        <w:rPr>
          <w:rFonts w:ascii="宋体" w:eastAsia="宋体" w:hAnsi="宋体" w:cs="宋体" w:hint="eastAsia"/>
        </w:rPr>
        <w:t>对于</w:t>
      </w:r>
      <w:proofErr w:type="gramEnd"/>
      <w:r w:rsidR="00E31B75" w:rsidRPr="00E31B75">
        <w:rPr>
          <w:rFonts w:ascii="宋体" w:eastAsia="宋体" w:hAnsi="宋体" w:cs="宋体" w:hint="eastAsia"/>
        </w:rPr>
        <w:t>观察到的效果，此点可以是</w:t>
      </w:r>
      <w:r w:rsidR="00E31B75" w:rsidRPr="00E31B75">
        <w:t>NOAEL / NOEL</w:t>
      </w:r>
      <w:r w:rsidR="00E31B75" w:rsidRPr="00E31B75">
        <w:rPr>
          <w:rFonts w:ascii="宋体" w:eastAsia="宋体" w:hAnsi="宋体" w:cs="宋体" w:hint="eastAsia"/>
        </w:rPr>
        <w:t>，</w:t>
      </w:r>
      <w:r w:rsidR="00E31B75" w:rsidRPr="00E31B75">
        <w:t>LOAEL / LOEL</w:t>
      </w:r>
      <w:r w:rsidR="00E31B75" w:rsidRPr="00E31B75">
        <w:rPr>
          <w:rFonts w:ascii="宋体" w:eastAsia="宋体" w:hAnsi="宋体" w:cs="宋体" w:hint="eastAsia"/>
        </w:rPr>
        <w:t>或</w:t>
      </w:r>
      <w:r w:rsidR="00E31B75" w:rsidRPr="00E31B75">
        <w:t>BMDL</w:t>
      </w:r>
      <w:r w:rsidRPr="00E31B75">
        <w:t xml:space="preserve"> </w:t>
      </w:r>
      <w:r w:rsidRPr="00E31B75">
        <w:rPr>
          <w:b/>
        </w:rPr>
        <w:t>(</w:t>
      </w:r>
      <w:r w:rsidRPr="00E31B75">
        <w:rPr>
          <w:b/>
          <w:color w:val="C1151A"/>
        </w:rPr>
        <w:t>18</w:t>
      </w:r>
      <w:r w:rsidRPr="00E31B75">
        <w:rPr>
          <w:b/>
        </w:rPr>
        <w:t>)</w:t>
      </w:r>
      <w:r w:rsidRPr="00E31B75">
        <w:t>.</w:t>
      </w:r>
    </w:p>
    <w:p w14:paraId="395A1D6E" w14:textId="77777777" w:rsidR="00E31B75" w:rsidRPr="00E31B75" w:rsidRDefault="00284695" w:rsidP="00E31B75">
      <w:pPr>
        <w:spacing w:after="82"/>
        <w:ind w:left="-15"/>
      </w:pPr>
      <w:r w:rsidRPr="00E31B75">
        <w:t xml:space="preserve">3.1.32 </w:t>
      </w:r>
      <w:r w:rsidR="00E31B75" w:rsidRPr="00E31B75">
        <w:rPr>
          <w:rFonts w:ascii="宋体" w:eastAsia="宋体" w:hAnsi="宋体" w:cs="宋体" w:hint="eastAsia"/>
        </w:rPr>
        <w:t>效能（活性），</w:t>
      </w:r>
      <w:r w:rsidR="00E31B75" w:rsidRPr="00E31B75">
        <w:t>n-</w:t>
      </w:r>
      <w:r w:rsidR="00E31B75" w:rsidRPr="00E31B75">
        <w:rPr>
          <w:rFonts w:ascii="宋体" w:eastAsia="宋体" w:hAnsi="宋体" w:cs="宋体" w:hint="eastAsia"/>
        </w:rPr>
        <w:t>与给定或隐含标准或参考相比，试剂的相对响应的表达。</w:t>
      </w:r>
    </w:p>
    <w:p w14:paraId="5127D01D" w14:textId="77777777" w:rsidR="00E31B75" w:rsidRPr="00E31B75" w:rsidRDefault="00E31B75" w:rsidP="00E31B75">
      <w:pPr>
        <w:spacing w:after="82"/>
        <w:ind w:left="-15"/>
      </w:pPr>
      <w:r w:rsidRPr="00E31B75">
        <w:t>3.1.33</w:t>
      </w:r>
      <w:r w:rsidRPr="00E31B75">
        <w:rPr>
          <w:rFonts w:ascii="宋体" w:eastAsia="宋体" w:hAnsi="宋体" w:cs="宋体" w:hint="eastAsia"/>
        </w:rPr>
        <w:t>合格的专家，</w:t>
      </w:r>
      <w:r w:rsidRPr="00E31B75">
        <w:t>n –</w:t>
      </w:r>
      <w:r w:rsidRPr="00E31B75">
        <w:rPr>
          <w:rFonts w:ascii="宋体" w:eastAsia="宋体" w:hAnsi="宋体" w:cs="宋体" w:hint="eastAsia"/>
        </w:rPr>
        <w:t>在毒理学</w:t>
      </w:r>
      <w:r w:rsidRPr="00E31B75">
        <w:t>/</w:t>
      </w:r>
      <w:r w:rsidRPr="00E31B75">
        <w:rPr>
          <w:rFonts w:ascii="宋体" w:eastAsia="宋体" w:hAnsi="宋体" w:cs="宋体" w:hint="eastAsia"/>
        </w:rPr>
        <w:t>药理学</w:t>
      </w:r>
      <w:r w:rsidRPr="00E31B75">
        <w:t>/</w:t>
      </w:r>
      <w:r w:rsidRPr="00E31B75">
        <w:rPr>
          <w:rFonts w:ascii="宋体" w:eastAsia="宋体" w:hAnsi="宋体" w:cs="宋体" w:hint="eastAsia"/>
        </w:rPr>
        <w:t>药物治疗和风险评估方法方面接受过特定的教育和培训，可以将毒理学原理应用于</w:t>
      </w:r>
      <w:r w:rsidRPr="00E31B75">
        <w:t>HBEL</w:t>
      </w:r>
      <w:r w:rsidRPr="00E31B75">
        <w:rPr>
          <w:rFonts w:ascii="宋体" w:eastAsia="宋体" w:hAnsi="宋体" w:cs="宋体" w:hint="eastAsia"/>
        </w:rPr>
        <w:t>的推导。</w:t>
      </w:r>
    </w:p>
    <w:p w14:paraId="7F67C97D" w14:textId="77777777" w:rsidR="00E31B75" w:rsidRPr="00E31B75" w:rsidRDefault="00E31B75" w:rsidP="00E31B75">
      <w:pPr>
        <w:spacing w:after="82"/>
        <w:ind w:left="-15"/>
      </w:pPr>
      <w:r w:rsidRPr="00E31B75">
        <w:t>3.1.34</w:t>
      </w:r>
      <w:r w:rsidRPr="00E31B75">
        <w:rPr>
          <w:rFonts w:ascii="宋体" w:eastAsia="宋体" w:hAnsi="宋体" w:cs="宋体" w:hint="eastAsia"/>
        </w:rPr>
        <w:t>可靠性，</w:t>
      </w:r>
      <w:r w:rsidRPr="00E31B75">
        <w:t>n-</w:t>
      </w:r>
      <w:r w:rsidRPr="00E31B75">
        <w:rPr>
          <w:rFonts w:ascii="宋体" w:eastAsia="宋体" w:hAnsi="宋体" w:cs="宋体" w:hint="eastAsia"/>
        </w:rPr>
        <w:t>测试报告或出版物中</w:t>
      </w:r>
      <w:proofErr w:type="gramStart"/>
      <w:r w:rsidRPr="00E31B75">
        <w:rPr>
          <w:rFonts w:ascii="宋体" w:eastAsia="宋体" w:hAnsi="宋体" w:cs="宋体" w:hint="eastAsia"/>
        </w:rPr>
        <w:t>与清楚</w:t>
      </w:r>
      <w:proofErr w:type="gramEnd"/>
      <w:r w:rsidRPr="00E31B75">
        <w:rPr>
          <w:rFonts w:ascii="宋体" w:eastAsia="宋体" w:hAnsi="宋体" w:cs="宋体" w:hint="eastAsia"/>
        </w:rPr>
        <w:t>描述的实验设计，实验程序的执行和结果报告有关的效果值的固有质量，以提供结果的可重复性和准确性的证据。</w:t>
      </w:r>
      <w:r w:rsidRPr="00E31B75">
        <w:t xml:space="preserve"> </w:t>
      </w:r>
      <w:r w:rsidRPr="00E31B75">
        <w:rPr>
          <w:rFonts w:ascii="宋体" w:eastAsia="宋体" w:hAnsi="宋体" w:cs="宋体" w:hint="eastAsia"/>
        </w:rPr>
        <w:t>（</w:t>
      </w:r>
      <w:r w:rsidRPr="00E31B75">
        <w:t>19</w:t>
      </w:r>
      <w:r w:rsidRPr="00E31B75">
        <w:rPr>
          <w:rFonts w:ascii="宋体" w:eastAsia="宋体" w:hAnsi="宋体" w:cs="宋体" w:hint="eastAsia"/>
        </w:rPr>
        <w:t>，</w:t>
      </w:r>
      <w:r w:rsidRPr="00E31B75">
        <w:t>20</w:t>
      </w:r>
      <w:r w:rsidRPr="00E31B75">
        <w:rPr>
          <w:rFonts w:ascii="宋体" w:eastAsia="宋体" w:hAnsi="宋体" w:cs="宋体" w:hint="eastAsia"/>
        </w:rPr>
        <w:t>）</w:t>
      </w:r>
    </w:p>
    <w:p w14:paraId="2054F00F" w14:textId="4BA9C243" w:rsidR="0026097E" w:rsidRPr="00E31B75" w:rsidRDefault="00E31B75" w:rsidP="00E31B75">
      <w:pPr>
        <w:spacing w:after="82"/>
        <w:ind w:left="-15"/>
      </w:pPr>
      <w:r w:rsidRPr="00E31B75">
        <w:t>3.1.35</w:t>
      </w:r>
      <w:r w:rsidRPr="00E31B75">
        <w:rPr>
          <w:rFonts w:ascii="宋体" w:eastAsia="宋体" w:hAnsi="宋体" w:cs="宋体" w:hint="eastAsia"/>
        </w:rPr>
        <w:t>风险评估，</w:t>
      </w:r>
      <w:r w:rsidRPr="00E31B75">
        <w:t>n-</w:t>
      </w:r>
      <w:r w:rsidRPr="00E31B75">
        <w:rPr>
          <w:rFonts w:ascii="宋体" w:eastAsia="宋体" w:hAnsi="宋体" w:cs="宋体" w:hint="eastAsia"/>
        </w:rPr>
        <w:t>组织和分析科学知识和信息的系统过程，该过程用于表征人类暴露于试剂的潜在不利影响，包括推断风险过程中固有的不确定性</w:t>
      </w:r>
      <w:r w:rsidR="00284695" w:rsidRPr="00E31B75">
        <w:t xml:space="preserve">. </w:t>
      </w:r>
      <w:r w:rsidR="00284695" w:rsidRPr="00E31B75">
        <w:rPr>
          <w:b/>
        </w:rPr>
        <w:t>(</w:t>
      </w:r>
      <w:r w:rsidR="00284695" w:rsidRPr="00E31B75">
        <w:rPr>
          <w:b/>
          <w:color w:val="C1151A"/>
        </w:rPr>
        <w:t>13</w:t>
      </w:r>
      <w:r w:rsidR="00284695" w:rsidRPr="00E31B75">
        <w:rPr>
          <w:b/>
        </w:rPr>
        <w:t xml:space="preserve">, </w:t>
      </w:r>
      <w:r w:rsidR="00284695" w:rsidRPr="00E31B75">
        <w:rPr>
          <w:b/>
          <w:color w:val="C1151A"/>
        </w:rPr>
        <w:t>21</w:t>
      </w:r>
      <w:r w:rsidR="00284695" w:rsidRPr="00E31B75">
        <w:rPr>
          <w:b/>
        </w:rPr>
        <w:t xml:space="preserve">, </w:t>
      </w:r>
      <w:r w:rsidR="00284695" w:rsidRPr="00E31B75">
        <w:rPr>
          <w:b/>
          <w:color w:val="C1151A"/>
        </w:rPr>
        <w:t>22</w:t>
      </w:r>
      <w:r w:rsidR="00284695" w:rsidRPr="00E31B75">
        <w:rPr>
          <w:b/>
        </w:rPr>
        <w:t>)</w:t>
      </w:r>
    </w:p>
    <w:p w14:paraId="758A391A" w14:textId="55763DAA" w:rsidR="0026097E" w:rsidRPr="00E31B75" w:rsidRDefault="00284695">
      <w:pPr>
        <w:ind w:left="-15"/>
      </w:pPr>
      <w:r w:rsidRPr="00E31B75">
        <w:t xml:space="preserve">3.1.35.1 </w:t>
      </w:r>
      <w:r w:rsidR="00E31B75" w:rsidRPr="00E31B75">
        <w:rPr>
          <w:rFonts w:ascii="宋体" w:eastAsia="宋体" w:hAnsi="宋体" w:cs="宋体" w:hint="eastAsia"/>
        </w:rPr>
        <w:t>讨论</w:t>
      </w:r>
      <w:r w:rsidR="00E31B75" w:rsidRPr="00E31B75">
        <w:t>-</w:t>
      </w:r>
      <w:r w:rsidR="00E31B75" w:rsidRPr="00E31B75">
        <w:rPr>
          <w:rFonts w:ascii="宋体" w:eastAsia="宋体" w:hAnsi="宋体" w:cs="宋体" w:hint="eastAsia"/>
        </w:rPr>
        <w:t>根据国家研究委员会的范例，风险评估包括四个步骤：（</w:t>
      </w:r>
      <w:r w:rsidR="00E31B75" w:rsidRPr="00E31B75">
        <w:t>1</w:t>
      </w:r>
      <w:r w:rsidR="00E31B75" w:rsidRPr="00E31B75">
        <w:rPr>
          <w:rFonts w:ascii="宋体" w:eastAsia="宋体" w:hAnsi="宋体" w:cs="宋体" w:hint="eastAsia"/>
        </w:rPr>
        <w:t>）危害识别，（</w:t>
      </w:r>
      <w:r w:rsidR="00E31B75" w:rsidRPr="00E31B75">
        <w:t>2</w:t>
      </w:r>
      <w:r w:rsidR="00E31B75" w:rsidRPr="00E31B75">
        <w:rPr>
          <w:rFonts w:ascii="宋体" w:eastAsia="宋体" w:hAnsi="宋体" w:cs="宋体" w:hint="eastAsia"/>
        </w:rPr>
        <w:t>）剂量反应评估，（</w:t>
      </w:r>
      <w:r w:rsidR="00E31B75" w:rsidRPr="00E31B75">
        <w:t>3</w:t>
      </w:r>
      <w:r w:rsidR="00E31B75" w:rsidRPr="00E31B75">
        <w:rPr>
          <w:rFonts w:ascii="宋体" w:eastAsia="宋体" w:hAnsi="宋体" w:cs="宋体" w:hint="eastAsia"/>
        </w:rPr>
        <w:t>）暴露特征和（</w:t>
      </w:r>
      <w:r w:rsidR="00E31B75" w:rsidRPr="00E31B75">
        <w:t>4</w:t>
      </w:r>
      <w:r w:rsidR="00E31B75" w:rsidRPr="00E31B75">
        <w:rPr>
          <w:rFonts w:ascii="宋体" w:eastAsia="宋体" w:hAnsi="宋体" w:cs="宋体" w:hint="eastAsia"/>
        </w:rPr>
        <w:t>）风险特征</w:t>
      </w:r>
      <w:r w:rsidRPr="00E31B75">
        <w:rPr>
          <w:b/>
        </w:rPr>
        <w:t>(</w:t>
      </w:r>
      <w:r w:rsidRPr="00E31B75">
        <w:rPr>
          <w:b/>
          <w:color w:val="C1151A"/>
        </w:rPr>
        <w:t>21</w:t>
      </w:r>
      <w:r w:rsidRPr="00E31B75">
        <w:rPr>
          <w:b/>
        </w:rPr>
        <w:t>)</w:t>
      </w:r>
      <w:r w:rsidRPr="00E31B75">
        <w:t>.</w:t>
      </w:r>
    </w:p>
    <w:p w14:paraId="52BD897D" w14:textId="5894D5AB" w:rsidR="0026097E" w:rsidRPr="00E31B75" w:rsidRDefault="00284695">
      <w:pPr>
        <w:spacing w:after="142"/>
        <w:ind w:left="-15"/>
      </w:pPr>
      <w:r w:rsidRPr="00E31B75">
        <w:t xml:space="preserve">3.1.36 </w:t>
      </w:r>
      <w:r w:rsidR="00E31B75" w:rsidRPr="00E31B75">
        <w:rPr>
          <w:rFonts w:ascii="宋体" w:eastAsia="宋体" w:hAnsi="宋体" w:cs="宋体" w:hint="eastAsia"/>
        </w:rPr>
        <w:t>严重程度，</w:t>
      </w:r>
      <w:r w:rsidR="00E31B75" w:rsidRPr="00E31B75">
        <w:t>n-</w:t>
      </w:r>
      <w:r w:rsidR="00E31B75" w:rsidRPr="00E31B75">
        <w:rPr>
          <w:rFonts w:ascii="宋体" w:eastAsia="宋体" w:hAnsi="宋体" w:cs="宋体" w:hint="eastAsia"/>
        </w:rPr>
        <w:t>影响生物体功能能力的程度，即逆境程度</w:t>
      </w:r>
      <w:r w:rsidRPr="00E31B75">
        <w:t>.</w:t>
      </w:r>
    </w:p>
    <w:p w14:paraId="4C5061BE" w14:textId="5BAA0F30" w:rsidR="0026097E" w:rsidRPr="00E31B75" w:rsidRDefault="00284695">
      <w:pPr>
        <w:ind w:left="-15"/>
      </w:pPr>
      <w:r w:rsidRPr="00E31B75">
        <w:t xml:space="preserve">3.1.36.1 </w:t>
      </w:r>
      <w:proofErr w:type="gramStart"/>
      <w:r w:rsidR="00E31B75" w:rsidRPr="00E31B75">
        <w:rPr>
          <w:rFonts w:ascii="宋体" w:eastAsia="宋体" w:hAnsi="宋体" w:cs="宋体" w:hint="eastAsia"/>
        </w:rPr>
        <w:t>讨论—该连续体</w:t>
      </w:r>
      <w:proofErr w:type="gramEnd"/>
      <w:r w:rsidR="00E31B75" w:rsidRPr="00E31B75">
        <w:rPr>
          <w:rFonts w:ascii="宋体" w:eastAsia="宋体" w:hAnsi="宋体" w:cs="宋体" w:hint="eastAsia"/>
        </w:rPr>
        <w:t>是许多变量的综合，包括对机体的损害程度，程度，受影响的器官，发生率，可逆性，病理严重程度以及其他表明严重程度的因素。严重影响的例子包括致癌性，致畸性</w:t>
      </w:r>
      <w:r w:rsidR="00E31B75" w:rsidRPr="00E31B75">
        <w:rPr>
          <w:rFonts w:ascii="宋体" w:eastAsia="宋体" w:hAnsi="宋体" w:cs="宋体"/>
        </w:rPr>
        <w:t xml:space="preserve"> </w:t>
      </w:r>
      <w:r w:rsidR="00E31B75" w:rsidRPr="00E31B75">
        <w:rPr>
          <w:rFonts w:ascii="宋体" w:eastAsia="宋体" w:hAnsi="宋体" w:cs="宋体" w:hint="eastAsia"/>
        </w:rPr>
        <w:t>，神经毒性和死亡。</w:t>
      </w:r>
      <w:r w:rsidRPr="00E31B75">
        <w:t>.</w:t>
      </w:r>
    </w:p>
    <w:p w14:paraId="6E856178" w14:textId="77777777" w:rsidR="00E31B75" w:rsidRPr="00E406F4" w:rsidRDefault="00284695" w:rsidP="00E31B75">
      <w:pPr>
        <w:spacing w:after="142"/>
        <w:ind w:left="-15"/>
      </w:pPr>
      <w:r w:rsidRPr="00E406F4">
        <w:t xml:space="preserve">3.1.37 </w:t>
      </w:r>
      <w:r w:rsidR="00E31B75" w:rsidRPr="00E406F4">
        <w:rPr>
          <w:rFonts w:ascii="宋体" w:eastAsia="宋体" w:hAnsi="宋体" w:cs="宋体" w:hint="eastAsia"/>
        </w:rPr>
        <w:t>毒理学关注阈值，</w:t>
      </w:r>
      <w:r w:rsidR="00E31B75" w:rsidRPr="00E406F4">
        <w:t>TTC</w:t>
      </w:r>
      <w:r w:rsidR="00E31B75" w:rsidRPr="00E406F4">
        <w:rPr>
          <w:rFonts w:ascii="宋体" w:eastAsia="宋体" w:hAnsi="宋体" w:cs="宋体" w:hint="eastAsia"/>
        </w:rPr>
        <w:t>，</w:t>
      </w:r>
      <w:r w:rsidR="00E31B75" w:rsidRPr="00E406F4">
        <w:t>n-TTC</w:t>
      </w:r>
      <w:r w:rsidR="00E31B75" w:rsidRPr="00E406F4">
        <w:rPr>
          <w:rFonts w:ascii="宋体" w:eastAsia="宋体" w:hAnsi="宋体" w:cs="宋体" w:hint="eastAsia"/>
        </w:rPr>
        <w:t>方法是一种筛查和优先排序工具，用于在危害数据不完整且可以估计人体暴露时对化学品的安全性进行评估，从而确定对物质的暴露程度是否低至对健康造成不利影响的可能性很低，不需要进一步的数据。</w:t>
      </w:r>
    </w:p>
    <w:p w14:paraId="0DF92219" w14:textId="77777777" w:rsidR="00E31B75" w:rsidRPr="00E406F4" w:rsidRDefault="00E31B75" w:rsidP="00E31B75">
      <w:pPr>
        <w:spacing w:after="142"/>
        <w:ind w:left="-15"/>
      </w:pPr>
      <w:r w:rsidRPr="00E406F4">
        <w:t>3.1.37.1</w:t>
      </w:r>
      <w:proofErr w:type="gramStart"/>
      <w:r w:rsidRPr="00E406F4">
        <w:rPr>
          <w:rFonts w:ascii="宋体" w:eastAsia="宋体" w:hAnsi="宋体" w:cs="宋体" w:hint="eastAsia"/>
        </w:rPr>
        <w:t>讨论</w:t>
      </w:r>
      <w:r w:rsidRPr="00E406F4">
        <w:t>—</w:t>
      </w:r>
      <w:r w:rsidRPr="00E406F4">
        <w:rPr>
          <w:rFonts w:ascii="宋体" w:eastAsia="宋体" w:hAnsi="宋体" w:cs="宋体" w:hint="eastAsia"/>
        </w:rPr>
        <w:t>当可</w:t>
      </w:r>
      <w:proofErr w:type="gramEnd"/>
      <w:r w:rsidRPr="00E406F4">
        <w:rPr>
          <w:rFonts w:ascii="宋体" w:eastAsia="宋体" w:hAnsi="宋体" w:cs="宋体" w:hint="eastAsia"/>
        </w:rPr>
        <w:t>获得化合物特定的评估和毒性数据或根据现有法规要求时，</w:t>
      </w:r>
      <w:r w:rsidRPr="00E406F4">
        <w:t>TTC</w:t>
      </w:r>
      <w:r w:rsidRPr="00E406F4">
        <w:rPr>
          <w:rFonts w:ascii="宋体" w:eastAsia="宋体" w:hAnsi="宋体" w:cs="宋体" w:hint="eastAsia"/>
        </w:rPr>
        <w:t>不适用（</w:t>
      </w:r>
      <w:r w:rsidRPr="00E406F4">
        <w:t>23</w:t>
      </w:r>
      <w:r w:rsidRPr="00E406F4">
        <w:rPr>
          <w:rFonts w:ascii="宋体" w:eastAsia="宋体" w:hAnsi="宋体" w:cs="宋体" w:hint="eastAsia"/>
        </w:rPr>
        <w:t>，</w:t>
      </w:r>
      <w:r w:rsidRPr="00E406F4">
        <w:t>24</w:t>
      </w:r>
      <w:r w:rsidRPr="00E406F4">
        <w:rPr>
          <w:rFonts w:ascii="宋体" w:eastAsia="宋体" w:hAnsi="宋体" w:cs="宋体" w:hint="eastAsia"/>
        </w:rPr>
        <w:t>）。</w:t>
      </w:r>
    </w:p>
    <w:p w14:paraId="299DC2F8" w14:textId="77777777" w:rsidR="00E31B75" w:rsidRPr="00E406F4" w:rsidRDefault="00E31B75" w:rsidP="00E31B75">
      <w:pPr>
        <w:spacing w:after="142"/>
        <w:ind w:left="-15"/>
      </w:pPr>
      <w:r w:rsidRPr="00E406F4">
        <w:t>3.1.38</w:t>
      </w:r>
      <w:r w:rsidRPr="00E406F4">
        <w:rPr>
          <w:rFonts w:ascii="宋体" w:eastAsia="宋体" w:hAnsi="宋体" w:cs="宋体" w:hint="eastAsia"/>
        </w:rPr>
        <w:t>毒理动力学，</w:t>
      </w:r>
      <w:r w:rsidRPr="00E406F4">
        <w:t>n-</w:t>
      </w:r>
      <w:r w:rsidRPr="00E406F4">
        <w:rPr>
          <w:rFonts w:ascii="宋体" w:eastAsia="宋体" w:hAnsi="宋体" w:cs="宋体" w:hint="eastAsia"/>
        </w:rPr>
        <w:t>描述和量化靶位点上导致对化学药品产生不良反应的细胞和分子事件的顺序。</w:t>
      </w:r>
    </w:p>
    <w:p w14:paraId="244D6C2D" w14:textId="77777777" w:rsidR="00E31B75" w:rsidRPr="00E406F4" w:rsidRDefault="00E31B75" w:rsidP="00E31B75">
      <w:pPr>
        <w:spacing w:after="142"/>
        <w:ind w:left="-15"/>
      </w:pPr>
      <w:r w:rsidRPr="00E406F4">
        <w:t>3.1.39</w:t>
      </w:r>
      <w:r w:rsidRPr="00E406F4">
        <w:rPr>
          <w:rFonts w:ascii="宋体" w:eastAsia="宋体" w:hAnsi="宋体" w:cs="宋体" w:hint="eastAsia"/>
        </w:rPr>
        <w:t>毒物动力学，</w:t>
      </w:r>
      <w:r w:rsidRPr="00E406F4">
        <w:t>n-</w:t>
      </w:r>
      <w:r w:rsidRPr="00E406F4">
        <w:rPr>
          <w:rFonts w:ascii="宋体" w:eastAsia="宋体" w:hAnsi="宋体" w:cs="宋体" w:hint="eastAsia"/>
        </w:rPr>
        <w:t>描述和量化化学物质吸收，分布，生物转化和排泄的时间过程。</w:t>
      </w:r>
    </w:p>
    <w:p w14:paraId="493BCA25" w14:textId="77777777" w:rsidR="00E31B75" w:rsidRPr="00E406F4" w:rsidRDefault="00E31B75" w:rsidP="00E31B75">
      <w:pPr>
        <w:spacing w:after="142"/>
        <w:ind w:left="-15"/>
      </w:pPr>
      <w:r w:rsidRPr="00E406F4">
        <w:t>3.1.40</w:t>
      </w:r>
      <w:r w:rsidRPr="00E406F4">
        <w:rPr>
          <w:rFonts w:ascii="宋体" w:eastAsia="宋体" w:hAnsi="宋体" w:cs="宋体" w:hint="eastAsia"/>
        </w:rPr>
        <w:t>不确定性，</w:t>
      </w:r>
      <w:r w:rsidRPr="00E406F4">
        <w:t>n-</w:t>
      </w:r>
      <w:r w:rsidRPr="00E406F4">
        <w:rPr>
          <w:rFonts w:ascii="宋体" w:eastAsia="宋体" w:hAnsi="宋体" w:cs="宋体" w:hint="eastAsia"/>
        </w:rPr>
        <w:t>指对特定因素，参数或模型缺乏了解。</w:t>
      </w:r>
      <w:r w:rsidRPr="00E406F4">
        <w:t xml:space="preserve"> </w:t>
      </w:r>
      <w:r w:rsidRPr="00E406F4">
        <w:rPr>
          <w:rFonts w:ascii="宋体" w:eastAsia="宋体" w:hAnsi="宋体" w:cs="宋体" w:hint="eastAsia"/>
        </w:rPr>
        <w:t>（</w:t>
      </w:r>
      <w:r w:rsidRPr="00E406F4">
        <w:t>25</w:t>
      </w:r>
      <w:r w:rsidRPr="00E406F4">
        <w:rPr>
          <w:rFonts w:ascii="宋体" w:eastAsia="宋体" w:hAnsi="宋体" w:cs="宋体" w:hint="eastAsia"/>
        </w:rPr>
        <w:t>）</w:t>
      </w:r>
    </w:p>
    <w:p w14:paraId="15C6D871" w14:textId="77777777" w:rsidR="00E31B75" w:rsidRPr="00E406F4" w:rsidRDefault="00E31B75" w:rsidP="00E31B75">
      <w:pPr>
        <w:spacing w:after="142"/>
        <w:ind w:left="-15"/>
      </w:pPr>
      <w:r w:rsidRPr="00E406F4">
        <w:t>3.1.40.1</w:t>
      </w:r>
      <w:r w:rsidRPr="00E406F4">
        <w:rPr>
          <w:rFonts w:ascii="宋体" w:eastAsia="宋体" w:hAnsi="宋体" w:cs="宋体" w:hint="eastAsia"/>
        </w:rPr>
        <w:t>讨论</w:t>
      </w:r>
      <w:r w:rsidRPr="00E406F4">
        <w:t>-</w:t>
      </w:r>
      <w:r w:rsidRPr="00E406F4">
        <w:rPr>
          <w:rFonts w:ascii="宋体" w:eastAsia="宋体" w:hAnsi="宋体" w:cs="宋体" w:hint="eastAsia"/>
        </w:rPr>
        <w:t>在风险评估中充分表征可变性和不确定性很重要。</w:t>
      </w:r>
      <w:r w:rsidRPr="00E406F4">
        <w:t xml:space="preserve"> “</w:t>
      </w:r>
      <w:r w:rsidRPr="00E406F4">
        <w:rPr>
          <w:rFonts w:ascii="宋体" w:eastAsia="宋体" w:hAnsi="宋体" w:cs="宋体" w:hint="eastAsia"/>
        </w:rPr>
        <w:t>不确定性包括参数不确定性（测量误差，采样误差，系统误差），模型不确定性（由于实际流程的必要简化而导致的不确定性，模型结构的规格错误，模型滥用，使用不适当的替代变量）和方案不确定性（描述性错误，汇总错误，专业判断错误，分析不完整）。</w:t>
      </w:r>
      <w:r w:rsidRPr="00E406F4">
        <w:t xml:space="preserve">” </w:t>
      </w:r>
      <w:r w:rsidRPr="00E406F4">
        <w:rPr>
          <w:rFonts w:ascii="宋体" w:eastAsia="宋体" w:hAnsi="宋体" w:cs="宋体" w:hint="eastAsia"/>
        </w:rPr>
        <w:t>（</w:t>
      </w:r>
      <w:r w:rsidRPr="00E406F4">
        <w:t>25</w:t>
      </w:r>
      <w:r w:rsidRPr="00E406F4">
        <w:rPr>
          <w:rFonts w:ascii="宋体" w:eastAsia="宋体" w:hAnsi="宋体" w:cs="宋体" w:hint="eastAsia"/>
        </w:rPr>
        <w:t>）参见参考文献（</w:t>
      </w:r>
      <w:r w:rsidRPr="00E406F4">
        <w:t>26</w:t>
      </w:r>
      <w:r w:rsidRPr="00E406F4">
        <w:rPr>
          <w:rFonts w:ascii="宋体" w:eastAsia="宋体" w:hAnsi="宋体" w:cs="宋体" w:hint="eastAsia"/>
        </w:rPr>
        <w:t>）中有关投入和方法学中常见不确定性类型的一般清单。</w:t>
      </w:r>
    </w:p>
    <w:p w14:paraId="086A2937" w14:textId="77777777" w:rsidR="00E31B75" w:rsidRPr="00E406F4" w:rsidRDefault="00E31B75" w:rsidP="00E31B75">
      <w:pPr>
        <w:spacing w:after="142"/>
        <w:ind w:left="-15"/>
      </w:pPr>
      <w:r w:rsidRPr="00E406F4">
        <w:t>3.1.41</w:t>
      </w:r>
      <w:r w:rsidRPr="00E406F4">
        <w:rPr>
          <w:rFonts w:ascii="宋体" w:eastAsia="宋体" w:hAnsi="宋体" w:cs="宋体" w:hint="eastAsia"/>
        </w:rPr>
        <w:t>变异性，</w:t>
      </w:r>
      <w:r w:rsidRPr="00E406F4">
        <w:t>n-</w:t>
      </w:r>
      <w:r w:rsidRPr="00E406F4">
        <w:rPr>
          <w:rFonts w:ascii="宋体" w:eastAsia="宋体" w:hAnsi="宋体" w:cs="宋体" w:hint="eastAsia"/>
        </w:rPr>
        <w:t>指由于时间，空间或人口的不同成员而在参数值上的真正异质性或多样性引起的观察到的差异（例如，累积暴露剂量或个体或群体的剂量率，或以应对暴露）。</w:t>
      </w:r>
      <w:r w:rsidRPr="00E406F4">
        <w:t xml:space="preserve"> </w:t>
      </w:r>
      <w:r w:rsidRPr="00E406F4">
        <w:rPr>
          <w:rFonts w:ascii="宋体" w:eastAsia="宋体" w:hAnsi="宋体" w:cs="宋体" w:hint="eastAsia"/>
        </w:rPr>
        <w:t>（</w:t>
      </w:r>
      <w:r w:rsidRPr="00E406F4">
        <w:t>25</w:t>
      </w:r>
      <w:r w:rsidRPr="00E406F4">
        <w:rPr>
          <w:rFonts w:ascii="宋体" w:eastAsia="宋体" w:hAnsi="宋体" w:cs="宋体" w:hint="eastAsia"/>
        </w:rPr>
        <w:t>，</w:t>
      </w:r>
      <w:r w:rsidRPr="00E406F4">
        <w:t>26</w:t>
      </w:r>
      <w:r w:rsidRPr="00E406F4">
        <w:rPr>
          <w:rFonts w:ascii="宋体" w:eastAsia="宋体" w:hAnsi="宋体" w:cs="宋体" w:hint="eastAsia"/>
        </w:rPr>
        <w:t>）</w:t>
      </w:r>
    </w:p>
    <w:p w14:paraId="5D434A75" w14:textId="6BBBE55D" w:rsidR="0026097E" w:rsidRPr="00E406F4" w:rsidRDefault="00E31B75" w:rsidP="00E31B75">
      <w:pPr>
        <w:spacing w:after="142"/>
        <w:ind w:left="-15"/>
      </w:pPr>
      <w:r w:rsidRPr="00E406F4">
        <w:t>3.1.41.1</w:t>
      </w:r>
      <w:r w:rsidRPr="00E406F4">
        <w:rPr>
          <w:rFonts w:ascii="宋体" w:eastAsia="宋体" w:hAnsi="宋体" w:cs="宋体" w:hint="eastAsia"/>
        </w:rPr>
        <w:t>讨论</w:t>
      </w:r>
      <w:r w:rsidRPr="00E406F4">
        <w:t>-</w:t>
      </w:r>
      <w:r w:rsidRPr="00E406F4">
        <w:rPr>
          <w:rFonts w:ascii="宋体" w:eastAsia="宋体" w:hAnsi="宋体" w:cs="宋体" w:hint="eastAsia"/>
        </w:rPr>
        <w:t>这是被评估人群的固有属性，尽管可以通过更多数据更好地表征，但通常无法减少也无法消除</w:t>
      </w:r>
      <w:r w:rsidR="00284695" w:rsidRPr="00E406F4">
        <w:t>.</w:t>
      </w:r>
    </w:p>
    <w:p w14:paraId="798C4577" w14:textId="2C376853" w:rsidR="0026097E" w:rsidRDefault="00284695">
      <w:pPr>
        <w:pStyle w:val="2"/>
        <w:ind w:left="-5"/>
      </w:pPr>
      <w:r>
        <w:t xml:space="preserve">4. </w:t>
      </w:r>
      <w:r w:rsidR="00E31B75" w:rsidRPr="00E31B75">
        <w:rPr>
          <w:rFonts w:ascii="宋体" w:eastAsia="宋体" w:hAnsi="宋体" w:cs="宋体" w:hint="eastAsia"/>
        </w:rPr>
        <w:t>意义和用途</w:t>
      </w:r>
    </w:p>
    <w:p w14:paraId="63F005CF" w14:textId="77777777" w:rsidR="00E31B75" w:rsidRDefault="00284695" w:rsidP="00E31B75">
      <w:pPr>
        <w:spacing w:after="98"/>
        <w:ind w:left="-15"/>
      </w:pPr>
      <w:r>
        <w:t xml:space="preserve">4.1 </w:t>
      </w:r>
      <w:r w:rsidR="00E31B75">
        <w:rPr>
          <w:rFonts w:ascii="宋体" w:eastAsia="宋体" w:hAnsi="宋体" w:cs="宋体" w:hint="eastAsia"/>
        </w:rPr>
        <w:t>作为国际质量要求的一部分，各种全球法规都要求对人体意外接触活性药物成分（</w:t>
      </w:r>
      <w:r w:rsidR="00E31B75">
        <w:t>API</w:t>
      </w:r>
      <w:r w:rsidR="00E31B75">
        <w:rPr>
          <w:rFonts w:ascii="宋体" w:eastAsia="宋体" w:hAnsi="宋体" w:cs="宋体" w:hint="eastAsia"/>
        </w:rPr>
        <w:t>）的准则，这是良好产品管理所必需的，并且被认为是行业标准。</w:t>
      </w:r>
    </w:p>
    <w:p w14:paraId="0A1BCEB0" w14:textId="77777777" w:rsidR="00E31B75" w:rsidRDefault="00E31B75" w:rsidP="00E31B75">
      <w:pPr>
        <w:spacing w:after="98"/>
        <w:ind w:left="-15"/>
      </w:pPr>
      <w:r>
        <w:t>4.2</w:t>
      </w:r>
      <w:r>
        <w:rPr>
          <w:rFonts w:ascii="宋体" w:eastAsia="宋体" w:hAnsi="宋体" w:cs="宋体" w:hint="eastAsia"/>
        </w:rPr>
        <w:t>本指南中所述方法的应用采用科学合理，以数据为依据的方法，以得出对意外暴露于单个物质的安全限值。然后可以将这些限制进一步用于计算在制造药品的质量风险评估中使用的清洁限制。</w:t>
      </w:r>
      <w:r>
        <w:t xml:space="preserve"> HBEL</w:t>
      </w:r>
      <w:r>
        <w:rPr>
          <w:rFonts w:ascii="宋体" w:eastAsia="宋体" w:hAnsi="宋体" w:cs="宋体" w:hint="eastAsia"/>
        </w:rPr>
        <w:t>方法考虑了特定于物质的属性（作用类型，效力，药理学，安全性等）。具体方法适用于不同类别的物质，并且适用于药物开发的特定阶段。</w:t>
      </w:r>
    </w:p>
    <w:p w14:paraId="67D4EC69" w14:textId="77777777" w:rsidR="00E31B75" w:rsidRDefault="00E31B75" w:rsidP="00E31B75">
      <w:pPr>
        <w:spacing w:after="98"/>
        <w:ind w:left="-15"/>
      </w:pPr>
      <w:r>
        <w:t>4.3 HBEL</w:t>
      </w:r>
      <w:r>
        <w:rPr>
          <w:rFonts w:ascii="宋体" w:eastAsia="宋体" w:hAnsi="宋体" w:cs="宋体" w:hint="eastAsia"/>
        </w:rPr>
        <w:t>推导的基础是所有可用的特定物质数据。这些数据的解释考虑了数据库的数量和健壮性以及数据的可靠性和相关性。</w:t>
      </w:r>
      <w:r w:rsidRPr="00544D6C">
        <w:rPr>
          <w:rFonts w:ascii="宋体" w:eastAsia="宋体" w:hAnsi="宋体" w:cs="宋体" w:hint="eastAsia"/>
          <w:highlight w:val="yellow"/>
        </w:rPr>
        <w:t>通常，可使用调整因子（</w:t>
      </w:r>
      <w:r w:rsidRPr="00544D6C">
        <w:rPr>
          <w:highlight w:val="yellow"/>
        </w:rPr>
        <w:t>AFs</w:t>
      </w:r>
      <w:r w:rsidRPr="00544D6C">
        <w:rPr>
          <w:rFonts w:ascii="宋体" w:eastAsia="宋体" w:hAnsi="宋体" w:cs="宋体" w:hint="eastAsia"/>
          <w:highlight w:val="yellow"/>
        </w:rPr>
        <w:t>）来解决不同参数中的变异性和不确定性，以确定安全的人体暴露极限，尽管也可以使用替代性的，有目的的保守方法</w:t>
      </w:r>
      <w:r w:rsidRPr="00544D6C">
        <w:rPr>
          <w:highlight w:val="yellow"/>
        </w:rPr>
        <w:t>[</w:t>
      </w:r>
      <w:r w:rsidRPr="00544D6C">
        <w:rPr>
          <w:rFonts w:ascii="宋体" w:eastAsia="宋体" w:hAnsi="宋体" w:cs="宋体" w:hint="eastAsia"/>
          <w:highlight w:val="yellow"/>
        </w:rPr>
        <w:t>例如，毒理学阈值（</w:t>
      </w:r>
      <w:r w:rsidRPr="00544D6C">
        <w:rPr>
          <w:highlight w:val="yellow"/>
        </w:rPr>
        <w:t>TTC</w:t>
      </w:r>
      <w:r w:rsidRPr="00544D6C">
        <w:rPr>
          <w:rFonts w:ascii="宋体" w:eastAsia="宋体" w:hAnsi="宋体" w:cs="宋体" w:hint="eastAsia"/>
          <w:highlight w:val="yellow"/>
        </w:rPr>
        <w:t>），交叉阅读</w:t>
      </w:r>
      <w:r w:rsidRPr="00544D6C">
        <w:rPr>
          <w:highlight w:val="yellow"/>
        </w:rPr>
        <w:t>]</w:t>
      </w:r>
      <w:r>
        <w:rPr>
          <w:rFonts w:ascii="宋体" w:eastAsia="宋体" w:hAnsi="宋体" w:cs="宋体" w:hint="eastAsia"/>
        </w:rPr>
        <w:t>。适当。</w:t>
      </w:r>
    </w:p>
    <w:p w14:paraId="6E7E5401" w14:textId="77777777" w:rsidR="00E31B75" w:rsidRDefault="00E31B75" w:rsidP="00E31B75">
      <w:pPr>
        <w:spacing w:after="98"/>
        <w:ind w:left="-15"/>
      </w:pPr>
      <w:r>
        <w:t>4.4</w:t>
      </w:r>
      <w:r>
        <w:rPr>
          <w:rFonts w:ascii="宋体" w:eastAsia="宋体" w:hAnsi="宋体" w:cs="宋体" w:hint="eastAsia"/>
        </w:rPr>
        <w:t>本指南支持并符合欧洲委员会（</w:t>
      </w:r>
      <w:r>
        <w:t>EU</w:t>
      </w:r>
      <w:r>
        <w:rPr>
          <w:rFonts w:ascii="宋体" w:eastAsia="宋体" w:hAnsi="宋体" w:cs="宋体" w:hint="eastAsia"/>
        </w:rPr>
        <w:t>）用于人和兽用药品的良好生产规范指南（</w:t>
      </w:r>
      <w:r>
        <w:t>27</w:t>
      </w:r>
      <w:r>
        <w:rPr>
          <w:rFonts w:ascii="宋体" w:eastAsia="宋体" w:hAnsi="宋体" w:cs="宋体" w:hint="eastAsia"/>
        </w:rPr>
        <w:t>，</w:t>
      </w:r>
      <w:r>
        <w:t>28</w:t>
      </w:r>
      <w:r>
        <w:rPr>
          <w:rFonts w:ascii="宋体" w:eastAsia="宋体" w:hAnsi="宋体" w:cs="宋体" w:hint="eastAsia"/>
        </w:rPr>
        <w:t>）以及国际制药工程师协会（</w:t>
      </w:r>
      <w:r>
        <w:t>ISPE</w:t>
      </w:r>
      <w:r>
        <w:rPr>
          <w:rFonts w:ascii="宋体" w:eastAsia="宋体" w:hAnsi="宋体" w:cs="宋体" w:hint="eastAsia"/>
        </w:rPr>
        <w:t>）的指南（</w:t>
      </w:r>
      <w:r>
        <w:t>29</w:t>
      </w:r>
      <w:r>
        <w:rPr>
          <w:rFonts w:ascii="宋体" w:eastAsia="宋体" w:hAnsi="宋体" w:cs="宋体" w:hint="eastAsia"/>
        </w:rPr>
        <w:t>）的要素）中提到的相关残留限量应基于毒理学评估。</w:t>
      </w:r>
    </w:p>
    <w:p w14:paraId="73821658" w14:textId="7F699EB9" w:rsidR="0026097E" w:rsidRDefault="00E31B75" w:rsidP="00E31B75">
      <w:pPr>
        <w:spacing w:after="98"/>
        <w:ind w:left="-15"/>
      </w:pPr>
      <w:r>
        <w:t>4.5</w:t>
      </w:r>
      <w:r>
        <w:rPr>
          <w:rFonts w:ascii="宋体" w:eastAsia="宋体" w:hAnsi="宋体" w:cs="宋体" w:hint="eastAsia"/>
        </w:rPr>
        <w:t>关键概念</w:t>
      </w:r>
      <w:r>
        <w:t>-</w:t>
      </w:r>
      <w:r>
        <w:rPr>
          <w:rFonts w:ascii="宋体" w:eastAsia="宋体" w:hAnsi="宋体" w:cs="宋体" w:hint="eastAsia"/>
        </w:rPr>
        <w:t>本指南采用以下步骤：（</w:t>
      </w:r>
      <w:r>
        <w:t>1</w:t>
      </w:r>
      <w:r>
        <w:rPr>
          <w:rFonts w:ascii="宋体" w:eastAsia="宋体" w:hAnsi="宋体" w:cs="宋体" w:hint="eastAsia"/>
        </w:rPr>
        <w:t>）危害特征描述，（</w:t>
      </w:r>
      <w:r>
        <w:t>2</w:t>
      </w:r>
      <w:r>
        <w:rPr>
          <w:rFonts w:ascii="宋体" w:eastAsia="宋体" w:hAnsi="宋体" w:cs="宋体" w:hint="eastAsia"/>
        </w:rPr>
        <w:t>）识别关键效应，包括剂量反应评估，（</w:t>
      </w:r>
      <w:r>
        <w:t>3</w:t>
      </w:r>
      <w:r>
        <w:rPr>
          <w:rFonts w:ascii="宋体" w:eastAsia="宋体" w:hAnsi="宋体" w:cs="宋体" w:hint="eastAsia"/>
        </w:rPr>
        <w:t>）确定一个或多个出发点（</w:t>
      </w:r>
      <w:proofErr w:type="spellStart"/>
      <w:r>
        <w:t>PoD</w:t>
      </w:r>
      <w:proofErr w:type="spellEnd"/>
      <w:r>
        <w:rPr>
          <w:rFonts w:ascii="宋体" w:eastAsia="宋体" w:hAnsi="宋体" w:cs="宋体" w:hint="eastAsia"/>
        </w:rPr>
        <w:t>），</w:t>
      </w:r>
      <w:r>
        <w:t xml:space="preserve"> </w:t>
      </w:r>
      <w:r>
        <w:rPr>
          <w:rFonts w:ascii="宋体" w:eastAsia="宋体" w:hAnsi="宋体" w:cs="宋体" w:hint="eastAsia"/>
        </w:rPr>
        <w:t>（</w:t>
      </w:r>
      <w:r>
        <w:t>4</w:t>
      </w:r>
      <w:r>
        <w:rPr>
          <w:rFonts w:ascii="宋体" w:eastAsia="宋体" w:hAnsi="宋体" w:cs="宋体" w:hint="eastAsia"/>
        </w:rPr>
        <w:t>）</w:t>
      </w:r>
      <w:proofErr w:type="spellStart"/>
      <w:r>
        <w:t>PoD</w:t>
      </w:r>
      <w:proofErr w:type="spellEnd"/>
      <w:r>
        <w:rPr>
          <w:rFonts w:ascii="宋体" w:eastAsia="宋体" w:hAnsi="宋体" w:cs="宋体" w:hint="eastAsia"/>
        </w:rPr>
        <w:t>特定</w:t>
      </w:r>
      <w:r>
        <w:t>AF</w:t>
      </w:r>
      <w:r>
        <w:rPr>
          <w:rFonts w:ascii="宋体" w:eastAsia="宋体" w:hAnsi="宋体" w:cs="宋体" w:hint="eastAsia"/>
        </w:rPr>
        <w:t>的应用，以及（</w:t>
      </w:r>
      <w:r>
        <w:t>5</w:t>
      </w:r>
      <w:r>
        <w:rPr>
          <w:rFonts w:ascii="宋体" w:eastAsia="宋体" w:hAnsi="宋体" w:cs="宋体" w:hint="eastAsia"/>
        </w:rPr>
        <w:t>）</w:t>
      </w:r>
      <w:r>
        <w:t>HBEL</w:t>
      </w:r>
      <w:r>
        <w:rPr>
          <w:rFonts w:ascii="宋体" w:eastAsia="宋体" w:hAnsi="宋体" w:cs="宋体" w:hint="eastAsia"/>
        </w:rPr>
        <w:t>的计算，包括所选</w:t>
      </w:r>
      <w:r>
        <w:t>HBEL</w:t>
      </w:r>
      <w:r>
        <w:rPr>
          <w:rFonts w:ascii="宋体" w:eastAsia="宋体" w:hAnsi="宋体" w:cs="宋体" w:hint="eastAsia"/>
        </w:rPr>
        <w:t>的合理性（</w:t>
      </w:r>
      <w:r>
        <w:t>18</w:t>
      </w:r>
      <w:r>
        <w:rPr>
          <w:rFonts w:ascii="宋体" w:eastAsia="宋体" w:hAnsi="宋体" w:cs="宋体" w:hint="eastAsia"/>
        </w:rPr>
        <w:t>）（见图</w:t>
      </w:r>
      <w:r>
        <w:t>1</w:t>
      </w:r>
      <w:r>
        <w:rPr>
          <w:rFonts w:ascii="宋体" w:eastAsia="宋体" w:hAnsi="宋体" w:cs="宋体" w:hint="eastAsia"/>
        </w:rPr>
        <w:t>）</w:t>
      </w:r>
      <w:r w:rsidR="00284695">
        <w:t>.</w:t>
      </w:r>
    </w:p>
    <w:p w14:paraId="60A02E65" w14:textId="2731A229" w:rsidR="0026097E" w:rsidRDefault="00284695">
      <w:pPr>
        <w:pStyle w:val="2"/>
        <w:ind w:left="-5"/>
      </w:pPr>
      <w:r>
        <w:t xml:space="preserve">5. </w:t>
      </w:r>
      <w:r w:rsidR="00E31B75">
        <w:rPr>
          <w:rFonts w:ascii="宋体" w:eastAsia="宋体" w:hAnsi="宋体" w:cs="宋体" w:hint="eastAsia"/>
        </w:rPr>
        <w:t>程序</w:t>
      </w:r>
    </w:p>
    <w:p w14:paraId="74D92966" w14:textId="77777777" w:rsidR="00E31B75" w:rsidRDefault="00284695" w:rsidP="00E31B75">
      <w:pPr>
        <w:spacing w:after="76"/>
        <w:ind w:left="-15"/>
      </w:pPr>
      <w:r>
        <w:t xml:space="preserve">5.1 </w:t>
      </w:r>
      <w:r w:rsidR="00E31B75">
        <w:rPr>
          <w:rFonts w:ascii="宋体" w:eastAsia="宋体" w:hAnsi="宋体" w:cs="宋体" w:hint="eastAsia"/>
        </w:rPr>
        <w:t>本指南中建议的确定</w:t>
      </w:r>
      <w:r w:rsidR="00E31B75">
        <w:t>HBEL</w:t>
      </w:r>
      <w:r w:rsidR="00E31B75">
        <w:rPr>
          <w:rFonts w:ascii="宋体" w:eastAsia="宋体" w:hAnsi="宋体" w:cs="宋体" w:hint="eastAsia"/>
        </w:rPr>
        <w:t>的程序基于</w:t>
      </w:r>
      <w:r w:rsidR="00E31B75">
        <w:t>EMA</w:t>
      </w:r>
      <w:r w:rsidR="00E31B75">
        <w:rPr>
          <w:rFonts w:ascii="宋体" w:eastAsia="宋体" w:hAnsi="宋体" w:cs="宋体" w:hint="eastAsia"/>
        </w:rPr>
        <w:t>指南（</w:t>
      </w:r>
      <w:r w:rsidR="00E31B75">
        <w:t>14</w:t>
      </w:r>
      <w:r w:rsidR="00E31B75">
        <w:rPr>
          <w:rFonts w:ascii="宋体" w:eastAsia="宋体" w:hAnsi="宋体" w:cs="宋体" w:hint="eastAsia"/>
        </w:rPr>
        <w:t>）中所述的建立允许的每日暴露量（</w:t>
      </w:r>
      <w:r w:rsidR="00E31B75">
        <w:t>PDE</w:t>
      </w:r>
      <w:r w:rsidR="00E31B75">
        <w:rPr>
          <w:rFonts w:ascii="宋体" w:eastAsia="宋体" w:hAnsi="宋体" w:cs="宋体" w:hint="eastAsia"/>
        </w:rPr>
        <w:t>）的方法，</w:t>
      </w:r>
      <w:r w:rsidR="00E31B75">
        <w:lastRenderedPageBreak/>
        <w:t>ISPE</w:t>
      </w:r>
      <w:r w:rsidR="00E31B75">
        <w:rPr>
          <w:rFonts w:ascii="宋体" w:eastAsia="宋体" w:hAnsi="宋体" w:cs="宋体" w:hint="eastAsia"/>
        </w:rPr>
        <w:t>指南中所述的建立可接受的每日暴露量（</w:t>
      </w:r>
      <w:r w:rsidR="00E31B75">
        <w:t>ADE</w:t>
      </w:r>
      <w:r w:rsidR="00E31B75">
        <w:rPr>
          <w:rFonts w:ascii="宋体" w:eastAsia="宋体" w:hAnsi="宋体" w:cs="宋体" w:hint="eastAsia"/>
        </w:rPr>
        <w:t>）值（</w:t>
      </w:r>
      <w:r w:rsidR="00E31B75">
        <w:t>29</w:t>
      </w:r>
      <w:r w:rsidR="00E31B75">
        <w:rPr>
          <w:rFonts w:ascii="宋体" w:eastAsia="宋体" w:hAnsi="宋体" w:cs="宋体" w:hint="eastAsia"/>
        </w:rPr>
        <w:t>）的方法以及科学文献中概述的原理。</w:t>
      </w:r>
    </w:p>
    <w:p w14:paraId="4A161827" w14:textId="77777777" w:rsidR="00E31B75" w:rsidRDefault="00E31B75" w:rsidP="00E31B75">
      <w:pPr>
        <w:spacing w:after="76"/>
        <w:ind w:left="-15"/>
      </w:pPr>
      <w:r>
        <w:t>5.2</w:t>
      </w:r>
      <w:r>
        <w:rPr>
          <w:rFonts w:ascii="宋体" w:eastAsia="宋体" w:hAnsi="宋体" w:cs="宋体" w:hint="eastAsia"/>
        </w:rPr>
        <w:t>建立</w:t>
      </w:r>
      <w:r>
        <w:t>HBEL</w:t>
      </w:r>
      <w:r>
        <w:rPr>
          <w:rFonts w:ascii="宋体" w:eastAsia="宋体" w:hAnsi="宋体" w:cs="宋体" w:hint="eastAsia"/>
        </w:rPr>
        <w:t>是一个过程，需要专业知识，并且需要由合格的专家来完成，如果可能，应该由相关主题专家进行同行评审。应要求提供履历（</w:t>
      </w:r>
      <w:r>
        <w:t>CV</w:t>
      </w:r>
      <w:r>
        <w:rPr>
          <w:rFonts w:ascii="宋体" w:eastAsia="宋体" w:hAnsi="宋体" w:cs="宋体" w:hint="eastAsia"/>
        </w:rPr>
        <w:t>），以证明其教育背景（例如毒理学，药理学，医学或其他与健康有关的学科），诸如美国毒理学委员会文凭（</w:t>
      </w:r>
      <w:r>
        <w:t>DABT</w:t>
      </w:r>
      <w:r>
        <w:rPr>
          <w:rFonts w:ascii="宋体" w:eastAsia="宋体" w:hAnsi="宋体" w:cs="宋体" w:hint="eastAsia"/>
        </w:rPr>
        <w:t>）或欧洲注册毒理学家证书等（</w:t>
      </w:r>
      <w:r>
        <w:t>ERT</w:t>
      </w:r>
      <w:r>
        <w:rPr>
          <w:rFonts w:ascii="宋体" w:eastAsia="宋体" w:hAnsi="宋体" w:cs="宋体" w:hint="eastAsia"/>
        </w:rPr>
        <w:t>），该领域的多年经验以及与该领域相关的出版物。尽管</w:t>
      </w:r>
      <w:r>
        <w:t>“</w:t>
      </w:r>
      <w:r>
        <w:rPr>
          <w:rFonts w:ascii="宋体" w:eastAsia="宋体" w:hAnsi="宋体" w:cs="宋体" w:hint="eastAsia"/>
        </w:rPr>
        <w:t>合格专家</w:t>
      </w:r>
      <w:r>
        <w:t>”</w:t>
      </w:r>
      <w:r>
        <w:rPr>
          <w:rFonts w:ascii="宋体" w:eastAsia="宋体" w:hAnsi="宋体" w:cs="宋体" w:hint="eastAsia"/>
        </w:rPr>
        <w:t>并不需要全部，但是这些领域的适当文档证明了在该领域工作的专业知识。通常，认证注册机构需要相关学科的学术学位，毒理学主要领域的基础知识，至少五年的相关毒理学经验，是否适合注册（例如，通过发表的作品，报告或评估）以及最新的知识专业从事毒理学实践（</w:t>
      </w:r>
      <w:r>
        <w:t>30</w:t>
      </w:r>
      <w:r>
        <w:rPr>
          <w:rFonts w:ascii="宋体" w:eastAsia="宋体" w:hAnsi="宋体" w:cs="宋体" w:hint="eastAsia"/>
        </w:rPr>
        <w:t>、</w:t>
      </w:r>
      <w:r>
        <w:t>31</w:t>
      </w:r>
      <w:r>
        <w:rPr>
          <w:rFonts w:ascii="宋体" w:eastAsia="宋体" w:hAnsi="宋体" w:cs="宋体" w:hint="eastAsia"/>
        </w:rPr>
        <w:t>）。</w:t>
      </w:r>
    </w:p>
    <w:p w14:paraId="4CA971CD" w14:textId="77777777" w:rsidR="00E31B75" w:rsidRDefault="00E31B75" w:rsidP="00E31B75">
      <w:pPr>
        <w:spacing w:after="76"/>
        <w:ind w:left="-15"/>
      </w:pPr>
      <w:r>
        <w:t>5.3</w:t>
      </w:r>
      <w:r>
        <w:rPr>
          <w:rFonts w:ascii="宋体" w:eastAsia="宋体" w:hAnsi="宋体" w:cs="宋体" w:hint="eastAsia"/>
        </w:rPr>
        <w:t>由合格专家在专论中描述描述得出</w:t>
      </w:r>
      <w:r>
        <w:t>HBEL</w:t>
      </w:r>
      <w:r>
        <w:rPr>
          <w:rFonts w:ascii="宋体" w:eastAsia="宋体" w:hAnsi="宋体" w:cs="宋体" w:hint="eastAsia"/>
        </w:rPr>
        <w:t>程序的文件。</w:t>
      </w:r>
      <w:proofErr w:type="gramStart"/>
      <w:r>
        <w:rPr>
          <w:rFonts w:ascii="宋体" w:eastAsia="宋体" w:hAnsi="宋体" w:cs="宋体" w:hint="eastAsia"/>
        </w:rPr>
        <w:t>专着</w:t>
      </w:r>
      <w:proofErr w:type="gramEnd"/>
      <w:r>
        <w:rPr>
          <w:rFonts w:ascii="宋体" w:eastAsia="宋体" w:hAnsi="宋体" w:cs="宋体" w:hint="eastAsia"/>
        </w:rPr>
        <w:t>的目的是与利益相关者进行有效沟通，并记录</w:t>
      </w:r>
      <w:r>
        <w:t>HBEL</w:t>
      </w:r>
      <w:r>
        <w:rPr>
          <w:rFonts w:ascii="宋体" w:eastAsia="宋体" w:hAnsi="宋体" w:cs="宋体" w:hint="eastAsia"/>
        </w:rPr>
        <w:t>推导基础的科学数据和方法，以使监管者能够对其进行检查。附录</w:t>
      </w:r>
      <w:r>
        <w:t>X1</w:t>
      </w:r>
      <w:r>
        <w:rPr>
          <w:rFonts w:ascii="宋体" w:eastAsia="宋体" w:hAnsi="宋体" w:cs="宋体" w:hint="eastAsia"/>
        </w:rPr>
        <w:t>中提供了</w:t>
      </w:r>
      <w:r>
        <w:t>HBEL</w:t>
      </w:r>
      <w:r>
        <w:rPr>
          <w:rFonts w:ascii="宋体" w:eastAsia="宋体" w:hAnsi="宋体" w:cs="宋体" w:hint="eastAsia"/>
        </w:rPr>
        <w:t>专论的示例模板。但是，一般格式可能会有所不同。</w:t>
      </w:r>
    </w:p>
    <w:p w14:paraId="1B7F92F3" w14:textId="77777777" w:rsidR="00E31B75" w:rsidRDefault="00E31B75" w:rsidP="00E31B75">
      <w:pPr>
        <w:spacing w:after="76"/>
        <w:ind w:left="-15"/>
      </w:pPr>
      <w:r>
        <w:t>5.4</w:t>
      </w:r>
      <w:r>
        <w:rPr>
          <w:rFonts w:ascii="宋体" w:eastAsia="宋体" w:hAnsi="宋体" w:cs="宋体" w:hint="eastAsia"/>
        </w:rPr>
        <w:t>危害识别和表征：</w:t>
      </w:r>
    </w:p>
    <w:p w14:paraId="44784EFA" w14:textId="2CD97115" w:rsidR="0026097E" w:rsidRDefault="00E31B75" w:rsidP="00E31B75">
      <w:pPr>
        <w:spacing w:after="76"/>
        <w:ind w:left="-15"/>
      </w:pPr>
      <w:r>
        <w:t>5.4.1</w:t>
      </w:r>
      <w:r>
        <w:rPr>
          <w:rFonts w:ascii="宋体" w:eastAsia="宋体" w:hAnsi="宋体" w:cs="宋体" w:hint="eastAsia"/>
        </w:rPr>
        <w:t>危害识别和表征的目的是识别化学试剂对健康的影响。它涉及评估有关化学制剂的可用科学技术信息的质量和相关性，包括化学制剂发挥毒性作用的机制；相关的剂量以及暴露的途径，持续时间和时机。美国环境保护署（</w:t>
      </w:r>
      <w:r>
        <w:t>EPA</w:t>
      </w:r>
      <w:r>
        <w:rPr>
          <w:rFonts w:ascii="宋体" w:eastAsia="宋体" w:hAnsi="宋体" w:cs="宋体" w:hint="eastAsia"/>
        </w:rPr>
        <w:t>）描述了评估此类数据时通常考虑的五个一般评估因素：（</w:t>
      </w:r>
      <w:r>
        <w:t>1</w:t>
      </w:r>
      <w:r>
        <w:rPr>
          <w:rFonts w:ascii="宋体" w:eastAsia="宋体" w:hAnsi="宋体" w:cs="宋体" w:hint="eastAsia"/>
        </w:rPr>
        <w:t>）健全性；</w:t>
      </w:r>
      <w:r>
        <w:t xml:space="preserve"> </w:t>
      </w:r>
      <w:r>
        <w:rPr>
          <w:rFonts w:ascii="宋体" w:eastAsia="宋体" w:hAnsi="宋体" w:cs="宋体" w:hint="eastAsia"/>
        </w:rPr>
        <w:t>（二）适用性和实用性；</w:t>
      </w:r>
      <w:r>
        <w:t xml:space="preserve"> </w:t>
      </w:r>
      <w:r>
        <w:rPr>
          <w:rFonts w:ascii="宋体" w:eastAsia="宋体" w:hAnsi="宋体" w:cs="宋体" w:hint="eastAsia"/>
        </w:rPr>
        <w:t>（</w:t>
      </w:r>
      <w:r>
        <w:t>3</w:t>
      </w:r>
      <w:r>
        <w:rPr>
          <w:rFonts w:ascii="宋体" w:eastAsia="宋体" w:hAnsi="宋体" w:cs="宋体" w:hint="eastAsia"/>
        </w:rPr>
        <w:t>）清晰度和完整性；</w:t>
      </w:r>
      <w:r>
        <w:t xml:space="preserve"> </w:t>
      </w:r>
      <w:r>
        <w:rPr>
          <w:rFonts w:ascii="宋体" w:eastAsia="宋体" w:hAnsi="宋体" w:cs="宋体" w:hint="eastAsia"/>
        </w:rPr>
        <w:t>（</w:t>
      </w:r>
      <w:r>
        <w:t>4</w:t>
      </w:r>
      <w:r>
        <w:rPr>
          <w:rFonts w:ascii="宋体" w:eastAsia="宋体" w:hAnsi="宋体" w:cs="宋体" w:hint="eastAsia"/>
        </w:rPr>
        <w:t>）不确定性和可变性；</w:t>
      </w:r>
      <w:r>
        <w:t xml:space="preserve"> </w:t>
      </w:r>
      <w:r>
        <w:rPr>
          <w:rFonts w:ascii="宋体" w:eastAsia="宋体" w:hAnsi="宋体" w:cs="宋体" w:hint="eastAsia"/>
        </w:rPr>
        <w:t>（</w:t>
      </w:r>
      <w:r>
        <w:t>5</w:t>
      </w:r>
      <w:r>
        <w:rPr>
          <w:rFonts w:ascii="宋体" w:eastAsia="宋体" w:hAnsi="宋体" w:cs="宋体" w:hint="eastAsia"/>
        </w:rPr>
        <w:t>）评估和审查（</w:t>
      </w:r>
      <w:r>
        <w:t>11</w:t>
      </w:r>
      <w:r>
        <w:rPr>
          <w:rFonts w:ascii="宋体" w:eastAsia="宋体" w:hAnsi="宋体" w:cs="宋体"/>
          <w:b/>
        </w:rPr>
        <w:t>）</w:t>
      </w:r>
      <w:r w:rsidR="00284695">
        <w:t>.</w:t>
      </w:r>
    </w:p>
    <w:tbl>
      <w:tblPr>
        <w:tblStyle w:val="TableGrid"/>
        <w:tblpPr w:vertAnchor="text" w:horzAnchor="margin" w:tblpY="412"/>
        <w:tblOverlap w:val="never"/>
        <w:tblW w:w="10418" w:type="dxa"/>
        <w:tblInd w:w="0" w:type="dxa"/>
        <w:tblLook w:val="04A0" w:firstRow="1" w:lastRow="0" w:firstColumn="1" w:lastColumn="0" w:noHBand="0" w:noVBand="1"/>
      </w:tblPr>
      <w:tblGrid>
        <w:gridCol w:w="10418"/>
      </w:tblGrid>
      <w:tr w:rsidR="0026097E" w14:paraId="7319B17D" w14:textId="77777777">
        <w:trPr>
          <w:trHeight w:val="546"/>
        </w:trPr>
        <w:tc>
          <w:tcPr>
            <w:tcW w:w="10419" w:type="dxa"/>
            <w:tcBorders>
              <w:top w:val="nil"/>
              <w:left w:val="nil"/>
              <w:bottom w:val="nil"/>
              <w:right w:val="nil"/>
            </w:tcBorders>
            <w:vAlign w:val="bottom"/>
          </w:tcPr>
          <w:p w14:paraId="567AB139" w14:textId="39270B0F" w:rsidR="0026097E" w:rsidRDefault="00E406F4">
            <w:pPr>
              <w:spacing w:after="97" w:line="259" w:lineRule="auto"/>
              <w:ind w:left="1369" w:firstLine="0"/>
              <w:jc w:val="left"/>
            </w:pPr>
            <w:r>
              <w:object w:dxaOrig="8131" w:dyaOrig="11521" w14:anchorId="246B0838">
                <v:shape id="_x0000_i1025" type="#_x0000_t75" style="width:406.5pt;height:8in" o:ole="">
                  <v:imagedata r:id="rId16" o:title=""/>
                </v:shape>
                <o:OLEObject Type="Embed" ProgID="Visio.Drawing.15" ShapeID="_x0000_i1025" DrawAspect="Content" ObjectID="_1660741749" r:id="rId17"/>
              </w:object>
            </w:r>
          </w:p>
          <w:p w14:paraId="3BEDC0D5" w14:textId="3D323AD4" w:rsidR="0026097E" w:rsidRDefault="00E31B75">
            <w:pPr>
              <w:spacing w:after="15" w:line="232" w:lineRule="auto"/>
              <w:ind w:right="-1" w:firstLine="190"/>
            </w:pPr>
            <w:r w:rsidRPr="00E31B75">
              <w:rPr>
                <w:rFonts w:ascii="宋体" w:eastAsia="宋体" w:hAnsi="宋体" w:cs="宋体" w:hint="eastAsia"/>
                <w:sz w:val="17"/>
              </w:rPr>
              <w:t>注</w:t>
            </w:r>
            <w:r w:rsidRPr="00E31B75">
              <w:rPr>
                <w:sz w:val="17"/>
              </w:rPr>
              <w:t>1</w:t>
            </w:r>
            <w:r w:rsidRPr="00E31B75">
              <w:rPr>
                <w:rFonts w:ascii="宋体" w:eastAsia="宋体" w:hAnsi="宋体" w:cs="宋体" w:hint="eastAsia"/>
                <w:sz w:val="17"/>
              </w:rPr>
              <w:t>：此图代表一个示例，其中基于三种独特的关键效应选择了三种可能的</w:t>
            </w:r>
            <w:proofErr w:type="spellStart"/>
            <w:r w:rsidRPr="00E31B75">
              <w:rPr>
                <w:sz w:val="17"/>
              </w:rPr>
              <w:t>PoD</w:t>
            </w:r>
            <w:proofErr w:type="spellEnd"/>
            <w:r w:rsidRPr="00E31B75">
              <w:rPr>
                <w:rFonts w:ascii="宋体" w:eastAsia="宋体" w:hAnsi="宋体" w:cs="宋体" w:hint="eastAsia"/>
                <w:sz w:val="17"/>
              </w:rPr>
              <w:t>，然后是</w:t>
            </w:r>
            <w:r w:rsidRPr="00E31B75">
              <w:rPr>
                <w:sz w:val="17"/>
              </w:rPr>
              <w:t>AF</w:t>
            </w:r>
            <w:r w:rsidRPr="00E31B75">
              <w:rPr>
                <w:rFonts w:ascii="宋体" w:eastAsia="宋体" w:hAnsi="宋体" w:cs="宋体" w:hint="eastAsia"/>
                <w:sz w:val="17"/>
              </w:rPr>
              <w:t>的</w:t>
            </w:r>
            <w:proofErr w:type="spellStart"/>
            <w:r w:rsidRPr="00E31B75">
              <w:rPr>
                <w:sz w:val="17"/>
              </w:rPr>
              <w:t>PoD</w:t>
            </w:r>
            <w:proofErr w:type="spellEnd"/>
            <w:r w:rsidRPr="00E31B75">
              <w:rPr>
                <w:rFonts w:ascii="宋体" w:eastAsia="宋体" w:hAnsi="宋体" w:cs="宋体" w:hint="eastAsia"/>
                <w:sz w:val="17"/>
              </w:rPr>
              <w:t>特定应用和三个</w:t>
            </w:r>
            <w:r w:rsidRPr="00E31B75">
              <w:rPr>
                <w:sz w:val="17"/>
              </w:rPr>
              <w:t>HBEL</w:t>
            </w:r>
            <w:r w:rsidRPr="00E31B75">
              <w:rPr>
                <w:rFonts w:ascii="宋体" w:eastAsia="宋体" w:hAnsi="宋体" w:cs="宋体" w:hint="eastAsia"/>
                <w:sz w:val="17"/>
              </w:rPr>
              <w:t>的计算</w:t>
            </w:r>
            <w:r w:rsidR="00284695">
              <w:rPr>
                <w:sz w:val="17"/>
              </w:rPr>
              <w:t>.</w:t>
            </w:r>
          </w:p>
          <w:p w14:paraId="2B0B7F26" w14:textId="60DCF573" w:rsidR="0026097E" w:rsidRDefault="00E31B75">
            <w:pPr>
              <w:spacing w:after="0" w:line="259" w:lineRule="auto"/>
              <w:ind w:firstLine="0"/>
              <w:jc w:val="center"/>
            </w:pPr>
            <w:r w:rsidRPr="00E31B75">
              <w:rPr>
                <w:rFonts w:ascii="宋体" w:eastAsia="宋体" w:hAnsi="宋体" w:cs="宋体" w:hint="eastAsia"/>
                <w:b/>
                <w:sz w:val="16"/>
              </w:rPr>
              <w:t>图</w:t>
            </w:r>
            <w:r>
              <w:rPr>
                <w:rFonts w:ascii="宋体" w:eastAsia="宋体" w:hAnsi="宋体" w:cs="宋体" w:hint="eastAsia"/>
                <w:b/>
                <w:sz w:val="16"/>
              </w:rPr>
              <w:t>1</w:t>
            </w:r>
            <w:r>
              <w:rPr>
                <w:rFonts w:ascii="宋体" w:eastAsia="宋体" w:hAnsi="宋体" w:cs="宋体"/>
                <w:b/>
                <w:sz w:val="16"/>
              </w:rPr>
              <w:t xml:space="preserve"> </w:t>
            </w:r>
            <w:r w:rsidRPr="00E31B75">
              <w:rPr>
                <w:rFonts w:ascii="Arial" w:eastAsia="Arial" w:hAnsi="Arial" w:cs="Arial"/>
                <w:b/>
                <w:sz w:val="16"/>
              </w:rPr>
              <w:t xml:space="preserve"> HBEL</w:t>
            </w:r>
            <w:r w:rsidRPr="00E31B75">
              <w:rPr>
                <w:rFonts w:ascii="宋体" w:eastAsia="宋体" w:hAnsi="宋体" w:cs="宋体" w:hint="eastAsia"/>
                <w:b/>
                <w:sz w:val="16"/>
              </w:rPr>
              <w:t>计算和最终选择的基础流程</w:t>
            </w:r>
            <w:r w:rsidRPr="00E31B75">
              <w:rPr>
                <w:rFonts w:ascii="Arial" w:eastAsia="Arial" w:hAnsi="Arial" w:cs="Arial"/>
                <w:b/>
                <w:sz w:val="16"/>
              </w:rPr>
              <w:t>1</w:t>
            </w:r>
          </w:p>
        </w:tc>
      </w:tr>
    </w:tbl>
    <w:p w14:paraId="3BBAFCB3" w14:textId="5D8AE6E5" w:rsidR="0026097E" w:rsidRDefault="00284695">
      <w:pPr>
        <w:spacing w:after="61"/>
        <w:ind w:left="-15"/>
      </w:pPr>
      <w:r>
        <w:t xml:space="preserve">5.4.1.1 </w:t>
      </w:r>
      <w:r w:rsidR="00E31B75" w:rsidRPr="00E31B75">
        <w:rPr>
          <w:rFonts w:ascii="宋体" w:eastAsia="宋体" w:hAnsi="宋体" w:cs="宋体" w:hint="eastAsia"/>
        </w:rPr>
        <w:t>他评估所有特定于物质的信息应该可以对危害物进行全面的表征，并可以理解某种物质的安全性。毒理学数据的质量和有效性的评估通常遵循</w:t>
      </w:r>
      <w:proofErr w:type="spellStart"/>
      <w:r w:rsidR="00E31B75" w:rsidRPr="00E31B75">
        <w:t>Klimisch</w:t>
      </w:r>
      <w:proofErr w:type="spellEnd"/>
      <w:r w:rsidR="00E31B75" w:rsidRPr="00E31B75">
        <w:rPr>
          <w:rFonts w:ascii="宋体" w:eastAsia="宋体" w:hAnsi="宋体" w:cs="宋体" w:hint="eastAsia"/>
        </w:rPr>
        <w:t>等人（</w:t>
      </w:r>
      <w:r w:rsidR="00E31B75" w:rsidRPr="00E31B75">
        <w:t>19</w:t>
      </w:r>
      <w:r w:rsidR="00E31B75" w:rsidRPr="00E31B75">
        <w:rPr>
          <w:rFonts w:ascii="宋体" w:eastAsia="宋体" w:hAnsi="宋体" w:cs="宋体" w:hint="eastAsia"/>
        </w:rPr>
        <w:t>）制定的可靠性评分类别和规范。这样的评估是为了确保用于识别潜在关键影响的数据具有足够的质量和有效性，可以解决化学品的危害。基于二级文献检索的数据得出</w:t>
      </w:r>
      <w:r w:rsidR="00E31B75" w:rsidRPr="00E31B75">
        <w:t>HBEL</w:t>
      </w:r>
      <w:r w:rsidR="00E31B75" w:rsidRPr="00E31B75">
        <w:rPr>
          <w:rFonts w:ascii="宋体" w:eastAsia="宋体" w:hAnsi="宋体" w:cs="宋体" w:hint="eastAsia"/>
        </w:rPr>
        <w:t>时，确定数据质量可能比使用专有创新数据（通常基于原始的良好实验室规范（</w:t>
      </w:r>
      <w:r w:rsidR="00E31B75" w:rsidRPr="00E31B75">
        <w:t>GLP</w:t>
      </w:r>
      <w:r w:rsidR="00E31B75" w:rsidRPr="00E31B75">
        <w:rPr>
          <w:rFonts w:ascii="宋体" w:eastAsia="宋体" w:hAnsi="宋体" w:cs="宋体" w:hint="eastAsia"/>
        </w:rPr>
        <w:t>）指南研究）得出的</w:t>
      </w:r>
      <w:r w:rsidR="00E31B75" w:rsidRPr="00E31B75">
        <w:lastRenderedPageBreak/>
        <w:t>HBEL</w:t>
      </w:r>
      <w:r w:rsidR="00E31B75" w:rsidRPr="00E31B75">
        <w:rPr>
          <w:rFonts w:ascii="宋体" w:eastAsia="宋体" w:hAnsi="宋体" w:cs="宋体" w:hint="eastAsia"/>
        </w:rPr>
        <w:t>更重要。如果使用</w:t>
      </w:r>
      <w:proofErr w:type="spellStart"/>
      <w:r w:rsidR="00E31B75" w:rsidRPr="00E31B75">
        <w:t>Klimisch</w:t>
      </w:r>
      <w:proofErr w:type="spellEnd"/>
      <w:r w:rsidR="00E31B75" w:rsidRPr="00E31B75">
        <w:rPr>
          <w:rFonts w:ascii="宋体" w:eastAsia="宋体" w:hAnsi="宋体" w:cs="宋体" w:hint="eastAsia"/>
        </w:rPr>
        <w:t>标准，建议用于得出关键效应的研究的</w:t>
      </w:r>
      <w:proofErr w:type="spellStart"/>
      <w:r w:rsidR="00E31B75" w:rsidRPr="00E31B75">
        <w:t>Klimisch</w:t>
      </w:r>
      <w:proofErr w:type="spellEnd"/>
      <w:r w:rsidR="00E31B75" w:rsidRPr="00E31B75">
        <w:rPr>
          <w:rFonts w:ascii="宋体" w:eastAsia="宋体" w:hAnsi="宋体" w:cs="宋体" w:hint="eastAsia"/>
        </w:rPr>
        <w:t>得分应为</w:t>
      </w:r>
      <w:r w:rsidR="00E31B75" w:rsidRPr="00E31B75">
        <w:t>1</w:t>
      </w:r>
      <w:r w:rsidR="00E31B75" w:rsidRPr="00E31B75">
        <w:rPr>
          <w:rFonts w:ascii="宋体" w:eastAsia="宋体" w:hAnsi="宋体" w:cs="宋体" w:hint="eastAsia"/>
        </w:rPr>
        <w:t>（可靠无限制）或</w:t>
      </w:r>
      <w:r w:rsidR="00E31B75" w:rsidRPr="00E31B75">
        <w:t>2</w:t>
      </w:r>
      <w:r w:rsidR="00E31B75" w:rsidRPr="00E31B75">
        <w:rPr>
          <w:rFonts w:ascii="宋体" w:eastAsia="宋体" w:hAnsi="宋体" w:cs="宋体" w:hint="eastAsia"/>
        </w:rPr>
        <w:t>（可靠有限制）。如果使用</w:t>
      </w:r>
      <w:proofErr w:type="spellStart"/>
      <w:r w:rsidR="00E31B75" w:rsidRPr="00E31B75">
        <w:t>Klimisch</w:t>
      </w:r>
      <w:proofErr w:type="spellEnd"/>
      <w:r w:rsidR="00E31B75" w:rsidRPr="00E31B75">
        <w:rPr>
          <w:rFonts w:ascii="宋体" w:eastAsia="宋体" w:hAnsi="宋体" w:cs="宋体" w:hint="eastAsia"/>
        </w:rPr>
        <w:t>得分为</w:t>
      </w:r>
      <w:r w:rsidR="00E31B75" w:rsidRPr="00E31B75">
        <w:t>4</w:t>
      </w:r>
      <w:r w:rsidR="00E31B75" w:rsidRPr="00E31B75">
        <w:rPr>
          <w:rFonts w:ascii="宋体" w:eastAsia="宋体" w:hAnsi="宋体" w:cs="宋体" w:hint="eastAsia"/>
        </w:rPr>
        <w:t>（可靠性无法分配）的数据，则应提供理由。不应使用</w:t>
      </w:r>
      <w:proofErr w:type="spellStart"/>
      <w:r w:rsidR="00E31B75" w:rsidRPr="00E31B75">
        <w:t>Klimisch</w:t>
      </w:r>
      <w:proofErr w:type="spellEnd"/>
      <w:r w:rsidR="00E31B75" w:rsidRPr="00E31B75">
        <w:rPr>
          <w:rFonts w:ascii="宋体" w:eastAsia="宋体" w:hAnsi="宋体" w:cs="宋体" w:hint="eastAsia"/>
        </w:rPr>
        <w:t>得分为</w:t>
      </w:r>
      <w:r w:rsidR="00E31B75" w:rsidRPr="00E31B75">
        <w:t>3</w:t>
      </w:r>
      <w:r w:rsidR="00E31B75" w:rsidRPr="00E31B75">
        <w:rPr>
          <w:rFonts w:ascii="宋体" w:eastAsia="宋体" w:hAnsi="宋体" w:cs="宋体" w:hint="eastAsia"/>
        </w:rPr>
        <w:t>（不可靠）的数据。代替原始研究，可以使用从高度可靠的研究中提取信息的辅助数据源（例如在产品包装插页，研究人员手册等中找到）来识别关键效应。</w:t>
      </w:r>
      <w:r w:rsidR="00E31B75" w:rsidRPr="00E31B75">
        <w:t xml:space="preserve"> </w:t>
      </w:r>
      <w:proofErr w:type="spellStart"/>
      <w:r w:rsidR="00E31B75" w:rsidRPr="00E31B75">
        <w:t>ToxRTool</w:t>
      </w:r>
      <w:proofErr w:type="spellEnd"/>
      <w:r w:rsidR="00E31B75" w:rsidRPr="00E31B75">
        <w:t xml:space="preserve"> Excel</w:t>
      </w:r>
      <w:r w:rsidR="00E31B75" w:rsidRPr="00E31B75">
        <w:rPr>
          <w:rFonts w:ascii="宋体" w:eastAsia="宋体" w:hAnsi="宋体" w:cs="宋体" w:hint="eastAsia"/>
        </w:rPr>
        <w:t>电子表格是使用</w:t>
      </w:r>
      <w:proofErr w:type="spellStart"/>
      <w:r w:rsidR="00E31B75" w:rsidRPr="00E31B75">
        <w:t>Klimisch</w:t>
      </w:r>
      <w:proofErr w:type="spellEnd"/>
      <w:r w:rsidR="00E31B75" w:rsidRPr="00E31B75">
        <w:rPr>
          <w:rFonts w:ascii="宋体" w:eastAsia="宋体" w:hAnsi="宋体" w:cs="宋体" w:hint="eastAsia"/>
        </w:rPr>
        <w:t>标准（</w:t>
      </w:r>
      <w:r w:rsidR="00E31B75" w:rsidRPr="00E31B75">
        <w:t>32</w:t>
      </w:r>
      <w:r w:rsidR="00E31B75" w:rsidRPr="00E31B75">
        <w:rPr>
          <w:rFonts w:ascii="宋体" w:eastAsia="宋体" w:hAnsi="宋体" w:cs="宋体" w:hint="eastAsia"/>
        </w:rPr>
        <w:t>）评估研究并对其可靠性进行评分的有用工具</w:t>
      </w:r>
    </w:p>
    <w:p w14:paraId="44354956" w14:textId="77777777" w:rsidR="00E31B75" w:rsidRDefault="00284695" w:rsidP="00E31B75">
      <w:pPr>
        <w:spacing w:after="59"/>
        <w:ind w:left="-15"/>
      </w:pPr>
      <w:r>
        <w:t>5.4.1.2</w:t>
      </w:r>
      <w:r w:rsidR="00E31B75">
        <w:rPr>
          <w:rFonts w:ascii="宋体" w:eastAsia="宋体" w:hAnsi="宋体" w:cs="宋体" w:hint="eastAsia"/>
        </w:rPr>
        <w:t>鉴于多种研究设计（例如随机临床试验，非随机队列研究，病例对照研究，病例交叉研究，横断面研究和药物警戒研究），人类流行病学研究的数据质量评估要复杂得多，每个都有潜在的偏见（即混杂，信息偏见和选择偏见），这些偏见可能会导致研究中出现系统性错误，各种重要的评估工具，以及通过系统的综述和荟萃分析来综合多种研究结果的精心设计的方法。但是，对于这些评估尚无共识或</w:t>
      </w:r>
      <w:r w:rsidR="00E31B75">
        <w:t>“</w:t>
      </w:r>
      <w:r w:rsidR="00E31B75">
        <w:rPr>
          <w:rFonts w:ascii="宋体" w:eastAsia="宋体" w:hAnsi="宋体" w:cs="宋体" w:hint="eastAsia"/>
        </w:rPr>
        <w:t>金标准</w:t>
      </w:r>
      <w:r w:rsidR="00E31B75">
        <w:t>”</w:t>
      </w:r>
      <w:r w:rsidR="00E31B75">
        <w:rPr>
          <w:rFonts w:ascii="宋体" w:eastAsia="宋体" w:hAnsi="宋体" w:cs="宋体" w:hint="eastAsia"/>
        </w:rPr>
        <w:t>工具，也没有单一工具可用于不同研究类型（</w:t>
      </w:r>
      <w:r w:rsidR="00E31B75">
        <w:t>33-35</w:t>
      </w:r>
      <w:r w:rsidR="00E31B75">
        <w:rPr>
          <w:rFonts w:ascii="宋体" w:eastAsia="宋体" w:hAnsi="宋体" w:cs="宋体" w:hint="eastAsia"/>
        </w:rPr>
        <w:t>）。最好使用遵循良好流行病学实践准则（例如</w:t>
      </w:r>
      <w:r w:rsidR="00E31B75">
        <w:t>GRADE</w:t>
      </w:r>
      <w:r w:rsidR="00E31B75">
        <w:rPr>
          <w:rFonts w:ascii="宋体" w:eastAsia="宋体" w:hAnsi="宋体" w:cs="宋体" w:hint="eastAsia"/>
        </w:rPr>
        <w:t>，</w:t>
      </w:r>
      <w:r w:rsidR="00E31B75">
        <w:t>PRISMA</w:t>
      </w:r>
      <w:r w:rsidR="00E31B75">
        <w:rPr>
          <w:rFonts w:ascii="宋体" w:eastAsia="宋体" w:hAnsi="宋体" w:cs="宋体" w:hint="eastAsia"/>
        </w:rPr>
        <w:t>和</w:t>
      </w:r>
      <w:r w:rsidR="00E31B75">
        <w:t>CONSORT</w:t>
      </w:r>
      <w:r w:rsidR="00E31B75">
        <w:rPr>
          <w:rFonts w:ascii="宋体" w:eastAsia="宋体" w:hAnsi="宋体" w:cs="宋体" w:hint="eastAsia"/>
        </w:rPr>
        <w:t>）或高质量的系统评价（例如</w:t>
      </w:r>
      <w:r w:rsidR="00E31B75">
        <w:t>Cochrane</w:t>
      </w:r>
      <w:r w:rsidR="00E31B75">
        <w:rPr>
          <w:rFonts w:ascii="宋体" w:eastAsia="宋体" w:hAnsi="宋体" w:cs="宋体" w:hint="eastAsia"/>
        </w:rPr>
        <w:t>数据库系统评价）的临床流行病学研究的人类数据。</w:t>
      </w:r>
    </w:p>
    <w:p w14:paraId="4B4B3678" w14:textId="77777777" w:rsidR="00E31B75" w:rsidRDefault="00E31B75" w:rsidP="00E31B75">
      <w:pPr>
        <w:spacing w:after="59"/>
        <w:ind w:left="-15"/>
      </w:pPr>
      <w:r>
        <w:t>5.4.2</w:t>
      </w:r>
      <w:r>
        <w:rPr>
          <w:rFonts w:ascii="宋体" w:eastAsia="宋体" w:hAnsi="宋体" w:cs="宋体" w:hint="eastAsia"/>
        </w:rPr>
        <w:t>根据用于评估其安全性和有效性的最新方法，对最近不合格的药物进行了评估和批准。相反，几十年来专利不佳的药物可能未使用相同的严格方法进行评估，尤其是在临床前阶段。这可能会导致某些潜在的不利健康影响终点的数据缺口，需要在计算</w:t>
      </w:r>
      <w:r>
        <w:t>HBEL</w:t>
      </w:r>
      <w:r>
        <w:rPr>
          <w:rFonts w:ascii="宋体" w:eastAsia="宋体" w:hAnsi="宋体" w:cs="宋体" w:hint="eastAsia"/>
        </w:rPr>
        <w:t>时评估数据质量和可靠性时加以解决。此外，对于某些指征（例如肿瘤学），可以缩写为非临床评估，因此也会导致数据缺口（</w:t>
      </w:r>
      <w:r>
        <w:t>ICH S9</w:t>
      </w:r>
      <w:r>
        <w:rPr>
          <w:rFonts w:ascii="宋体" w:eastAsia="宋体" w:hAnsi="宋体" w:cs="宋体" w:hint="eastAsia"/>
        </w:rPr>
        <w:t>）。为了确保</w:t>
      </w:r>
      <w:r>
        <w:t>HBEL</w:t>
      </w:r>
      <w:r>
        <w:rPr>
          <w:rFonts w:ascii="宋体" w:eastAsia="宋体" w:hAnsi="宋体" w:cs="宋体" w:hint="eastAsia"/>
        </w:rPr>
        <w:t>的一致性，重要的是选择可靠的</w:t>
      </w:r>
      <w:proofErr w:type="spellStart"/>
      <w:r>
        <w:t>PoD</w:t>
      </w:r>
      <w:proofErr w:type="spellEnd"/>
      <w:r>
        <w:rPr>
          <w:rFonts w:ascii="宋体" w:eastAsia="宋体" w:hAnsi="宋体" w:cs="宋体" w:hint="eastAsia"/>
        </w:rPr>
        <w:t>，同时适当修改某些</w:t>
      </w:r>
      <w:r>
        <w:t>AF</w:t>
      </w:r>
      <w:r>
        <w:rPr>
          <w:rFonts w:ascii="宋体" w:eastAsia="宋体" w:hAnsi="宋体" w:cs="宋体" w:hint="eastAsia"/>
        </w:rPr>
        <w:t>以解决潜在的数据缺口。</w:t>
      </w:r>
    </w:p>
    <w:p w14:paraId="1F756559" w14:textId="77777777" w:rsidR="00E31B75" w:rsidRDefault="00E31B75" w:rsidP="00E31B75">
      <w:pPr>
        <w:spacing w:after="59"/>
        <w:ind w:left="-15"/>
      </w:pPr>
      <w:r>
        <w:t>5.4.3</w:t>
      </w:r>
      <w:r>
        <w:rPr>
          <w:rFonts w:ascii="宋体" w:eastAsia="宋体" w:hAnsi="宋体" w:cs="宋体" w:hint="eastAsia"/>
        </w:rPr>
        <w:t>评估某些较旧的非专利药时存在的另一个空白是主要数据的可访问性。在许多情况下，仅提供摘要，没有关于在非临床和临床试验研究中确定的</w:t>
      </w:r>
      <w:r>
        <w:t>NOAEL</w:t>
      </w:r>
      <w:r>
        <w:rPr>
          <w:rFonts w:ascii="宋体" w:eastAsia="宋体" w:hAnsi="宋体" w:cs="宋体" w:hint="eastAsia"/>
        </w:rPr>
        <w:t>，给药途径或剂量的详细信息。在无法</w:t>
      </w:r>
      <w:proofErr w:type="gramStart"/>
      <w:r>
        <w:rPr>
          <w:rFonts w:ascii="宋体" w:eastAsia="宋体" w:hAnsi="宋体" w:cs="宋体" w:hint="eastAsia"/>
        </w:rPr>
        <w:t>访问非</w:t>
      </w:r>
      <w:proofErr w:type="gramEnd"/>
      <w:r>
        <w:rPr>
          <w:rFonts w:ascii="宋体" w:eastAsia="宋体" w:hAnsi="宋体" w:cs="宋体" w:hint="eastAsia"/>
        </w:rPr>
        <w:t>临床和早期临床试验数据的情况下，可以使用人类数据（例如后期临床试验，上市后监测</w:t>
      </w:r>
      <w:r>
        <w:t>/</w:t>
      </w:r>
      <w:r>
        <w:rPr>
          <w:rFonts w:ascii="宋体" w:eastAsia="宋体" w:hAnsi="宋体" w:cs="宋体" w:hint="eastAsia"/>
        </w:rPr>
        <w:t>药物警戒以及偶尔的病例报告）作为</w:t>
      </w:r>
      <w:proofErr w:type="spellStart"/>
      <w:r>
        <w:t>PoD</w:t>
      </w:r>
      <w:proofErr w:type="spellEnd"/>
      <w:r>
        <w:rPr>
          <w:rFonts w:ascii="宋体" w:eastAsia="宋体" w:hAnsi="宋体" w:cs="宋体" w:hint="eastAsia"/>
        </w:rPr>
        <w:t>，因为自批准以来，可能在过去的几年中已经对患者和患者人群进行了治疗。在那些情况下，根据用于治疗人类患者的临床剂量选择</w:t>
      </w:r>
      <w:proofErr w:type="spellStart"/>
      <w:r>
        <w:t>PoD</w:t>
      </w:r>
      <w:proofErr w:type="spellEnd"/>
      <w:r>
        <w:rPr>
          <w:rFonts w:ascii="宋体" w:eastAsia="宋体" w:hAnsi="宋体" w:cs="宋体" w:hint="eastAsia"/>
        </w:rPr>
        <w:t>可能就足够了。但是，重要的是要注意是否已识别出易感人群或有意将其排除在治疗范围之外（例如，由于对发育毒性的考虑而有生育能力的妇女）。</w:t>
      </w:r>
    </w:p>
    <w:p w14:paraId="75BDD34E" w14:textId="77777777" w:rsidR="00E31B75" w:rsidRDefault="00E31B75" w:rsidP="00E31B75">
      <w:pPr>
        <w:spacing w:after="59"/>
        <w:ind w:left="-15"/>
      </w:pPr>
      <w:r>
        <w:t>5.4.4</w:t>
      </w:r>
      <w:r>
        <w:rPr>
          <w:rFonts w:ascii="宋体" w:eastAsia="宋体" w:hAnsi="宋体" w:cs="宋体" w:hint="eastAsia"/>
        </w:rPr>
        <w:t>应由毒物学家或其他合格的风险评估专家来</w:t>
      </w:r>
      <w:r w:rsidRPr="00544D6C">
        <w:rPr>
          <w:rFonts w:ascii="宋体" w:eastAsia="宋体" w:hAnsi="宋体" w:cs="宋体" w:hint="eastAsia"/>
          <w:highlight w:val="yellow"/>
        </w:rPr>
        <w:t>进行或审查有关危害特征的文献检索</w:t>
      </w:r>
      <w:r>
        <w:rPr>
          <w:rFonts w:ascii="宋体" w:eastAsia="宋体" w:hAnsi="宋体" w:cs="宋体" w:hint="eastAsia"/>
        </w:rPr>
        <w:t>。</w:t>
      </w:r>
      <w:proofErr w:type="gramStart"/>
      <w:r>
        <w:rPr>
          <w:rFonts w:ascii="宋体" w:eastAsia="宋体" w:hAnsi="宋体" w:cs="宋体" w:hint="eastAsia"/>
        </w:rPr>
        <w:t>验证此</w:t>
      </w:r>
      <w:proofErr w:type="gramEnd"/>
      <w:r>
        <w:rPr>
          <w:rFonts w:ascii="宋体" w:eastAsia="宋体" w:hAnsi="宋体" w:cs="宋体" w:hint="eastAsia"/>
        </w:rPr>
        <w:t>信息的可靠性仍然是合格专家的责任。合格的专家可以根据化合物的类型（数据丰富或数据贫乏）有效地确定文献检索策略。有资质的专家还可以确定数据差距发生的位置，并且可以尝试获取数据，尽可能地填补差距（例如，交叉阅读，作用机制等），</w:t>
      </w:r>
      <w:r w:rsidRPr="00544D6C">
        <w:rPr>
          <w:rFonts w:ascii="宋体" w:eastAsia="宋体" w:hAnsi="宋体" w:cs="宋体" w:hint="eastAsia"/>
          <w:highlight w:val="yellow"/>
        </w:rPr>
        <w:t>使用诸如毒理学关注阈值（</w:t>
      </w:r>
      <w:r w:rsidRPr="00544D6C">
        <w:rPr>
          <w:highlight w:val="yellow"/>
        </w:rPr>
        <w:t>TTC</w:t>
      </w:r>
      <w:r w:rsidRPr="00544D6C">
        <w:rPr>
          <w:rFonts w:ascii="宋体" w:eastAsia="宋体" w:hAnsi="宋体" w:cs="宋体" w:hint="eastAsia"/>
          <w:highlight w:val="yellow"/>
        </w:rPr>
        <w:t>），或由于缺乏数据而增加不确定性，应用较大的</w:t>
      </w:r>
      <w:r w:rsidRPr="00544D6C">
        <w:rPr>
          <w:highlight w:val="yellow"/>
        </w:rPr>
        <w:t>AF</w:t>
      </w:r>
      <w:r w:rsidRPr="00544D6C">
        <w:rPr>
          <w:rFonts w:ascii="宋体" w:eastAsia="宋体" w:hAnsi="宋体" w:cs="宋体" w:hint="eastAsia"/>
          <w:highlight w:val="yellow"/>
        </w:rPr>
        <w:t>（</w:t>
      </w:r>
      <w:r w:rsidRPr="00544D6C">
        <w:rPr>
          <w:highlight w:val="yellow"/>
        </w:rPr>
        <w:t>18</w:t>
      </w:r>
      <w:r w:rsidRPr="00544D6C">
        <w:rPr>
          <w:rFonts w:ascii="宋体" w:eastAsia="宋体" w:hAnsi="宋体" w:cs="宋体" w:hint="eastAsia"/>
          <w:highlight w:val="yellow"/>
        </w:rPr>
        <w:t>）。</w:t>
      </w:r>
      <w:r>
        <w:rPr>
          <w:rFonts w:ascii="宋体" w:eastAsia="宋体" w:hAnsi="宋体" w:cs="宋体" w:hint="eastAsia"/>
        </w:rPr>
        <w:t>理想情况下，</w:t>
      </w:r>
      <w:r>
        <w:rPr>
          <w:rFonts w:ascii="宋体" w:eastAsia="宋体" w:hAnsi="宋体" w:cs="宋体" w:hint="eastAsia"/>
        </w:rPr>
        <w:t>可以使用高质量的临床数据集，并应进行评估，因为对于大多数不利健康影响终点（发育和生殖毒性，致癌性除外），对于人类</w:t>
      </w:r>
      <w:r>
        <w:t>HBEL</w:t>
      </w:r>
      <w:r>
        <w:rPr>
          <w:rFonts w:ascii="宋体" w:eastAsia="宋体" w:hAnsi="宋体" w:cs="宋体" w:hint="eastAsia"/>
        </w:rPr>
        <w:t>的计算，它们通常比非临床研究更相关。</w:t>
      </w:r>
    </w:p>
    <w:p w14:paraId="4408AC3A" w14:textId="0E605E96" w:rsidR="0026097E" w:rsidRPr="00873522" w:rsidRDefault="00E31B75" w:rsidP="00E31B75">
      <w:pPr>
        <w:spacing w:after="59"/>
        <w:ind w:left="-15"/>
      </w:pPr>
      <w:r w:rsidRPr="00873522">
        <w:t>5.4.5</w:t>
      </w:r>
      <w:r w:rsidRPr="00873522">
        <w:rPr>
          <w:rFonts w:ascii="宋体" w:eastAsia="宋体" w:hAnsi="宋体" w:cs="宋体" w:hint="eastAsia"/>
        </w:rPr>
        <w:t>以下端点通常可以在商业阶段</w:t>
      </w:r>
      <w:r w:rsidRPr="00873522">
        <w:t>API</w:t>
      </w:r>
      <w:r w:rsidRPr="00873522">
        <w:rPr>
          <w:rFonts w:ascii="宋体" w:eastAsia="宋体" w:hAnsi="宋体" w:cs="宋体" w:hint="eastAsia"/>
        </w:rPr>
        <w:t>上进行审查</w:t>
      </w:r>
      <w:r w:rsidR="00284695" w:rsidRPr="00873522">
        <w:t>:</w:t>
      </w:r>
    </w:p>
    <w:p w14:paraId="3BB77F7D" w14:textId="77777777" w:rsidR="00E31B75" w:rsidRPr="00873522" w:rsidRDefault="00284695" w:rsidP="00E31B75">
      <w:pPr>
        <w:spacing w:after="54"/>
        <w:ind w:left="-15"/>
      </w:pPr>
      <w:r w:rsidRPr="00873522">
        <w:t xml:space="preserve">5.4.5.1 </w:t>
      </w:r>
      <w:r w:rsidR="00E31B75" w:rsidRPr="00544D6C">
        <w:rPr>
          <w:rFonts w:ascii="宋体" w:eastAsia="宋体" w:hAnsi="宋体" w:cs="宋体" w:hint="eastAsia"/>
          <w:highlight w:val="yellow"/>
        </w:rPr>
        <w:t>非临床数据</w:t>
      </w:r>
      <w:r w:rsidR="00E31B75" w:rsidRPr="00544D6C">
        <w:rPr>
          <w:highlight w:val="yellow"/>
        </w:rPr>
        <w:t>-</w:t>
      </w:r>
      <w:r w:rsidR="00E31B75" w:rsidRPr="00544D6C">
        <w:rPr>
          <w:rFonts w:ascii="宋体" w:eastAsia="宋体" w:hAnsi="宋体" w:cs="宋体" w:hint="eastAsia"/>
          <w:highlight w:val="yellow"/>
        </w:rPr>
        <w:t>在</w:t>
      </w:r>
      <w:r w:rsidR="00E31B75" w:rsidRPr="00544D6C">
        <w:rPr>
          <w:highlight w:val="yellow"/>
        </w:rPr>
        <w:t>API</w:t>
      </w:r>
      <w:r w:rsidR="00E31B75" w:rsidRPr="00544D6C">
        <w:rPr>
          <w:rFonts w:ascii="宋体" w:eastAsia="宋体" w:hAnsi="宋体" w:cs="宋体" w:hint="eastAsia"/>
          <w:highlight w:val="yellow"/>
        </w:rPr>
        <w:t>开发过程中收集了各种剂量反应和机械性非临床数据，以支持药物申报。这些包括单剂量安全药理学研究（例如，心脏，神经行为），重复剂量研究（包括发育和生殖毒性研究），局部耐受性，致敏性和致癌性研究。在数据收集期间，将对与作用机理有关的因素进行表征，</w:t>
      </w:r>
      <w:r w:rsidR="00E31B75" w:rsidRPr="00873522">
        <w:rPr>
          <w:rFonts w:ascii="宋体" w:eastAsia="宋体" w:hAnsi="宋体" w:cs="宋体" w:hint="eastAsia"/>
        </w:rPr>
        <w:t>例如靶受体，效价，药理作用和药物适应症。物质所有相关的毒理学数据的汇编应允许识别关键作用，以及在相关非临床物种和相关暴露途径中观察到的效应的剂量反应关系。确定关键作用的一些考虑因素可能包括：所测量作用的类型，作用的严重性和可逆性，与作用的人类相关性，接触时间（通常较长时间的研究与较短时间的研究相比采用更大的重量），选择的物种，给药途径测试的动物数量，测量的终点类型以及适当的统计分析。</w:t>
      </w:r>
    </w:p>
    <w:p w14:paraId="09A2C271" w14:textId="77777777" w:rsidR="00E31B75" w:rsidRPr="00873522" w:rsidRDefault="00E31B75" w:rsidP="00E31B75">
      <w:pPr>
        <w:spacing w:after="54"/>
        <w:ind w:left="-15"/>
      </w:pPr>
      <w:r w:rsidRPr="00873522">
        <w:t>5.4.5.2</w:t>
      </w:r>
      <w:r w:rsidRPr="00873522">
        <w:rPr>
          <w:rFonts w:ascii="宋体" w:eastAsia="宋体" w:hAnsi="宋体" w:cs="宋体" w:hint="eastAsia"/>
        </w:rPr>
        <w:t>人类数据</w:t>
      </w:r>
      <w:r w:rsidRPr="00873522">
        <w:t>-</w:t>
      </w:r>
      <w:r w:rsidRPr="00873522">
        <w:rPr>
          <w:rFonts w:ascii="宋体" w:eastAsia="宋体" w:hAnsi="宋体" w:cs="宋体" w:hint="eastAsia"/>
        </w:rPr>
        <w:t>如</w:t>
      </w:r>
      <w:r w:rsidRPr="00873522">
        <w:t>5.4.5.1</w:t>
      </w:r>
      <w:r w:rsidRPr="00873522">
        <w:rPr>
          <w:rFonts w:ascii="宋体" w:eastAsia="宋体" w:hAnsi="宋体" w:cs="宋体" w:hint="eastAsia"/>
        </w:rPr>
        <w:t>中所述，在支持</w:t>
      </w:r>
      <w:r w:rsidRPr="00873522">
        <w:t>API</w:t>
      </w:r>
      <w:r w:rsidRPr="00873522">
        <w:rPr>
          <w:rFonts w:ascii="宋体" w:eastAsia="宋体" w:hAnsi="宋体" w:cs="宋体" w:hint="eastAsia"/>
        </w:rPr>
        <w:t>的安全性和有效性的患者以及通常为健康的人类志愿者的发展和批准后，可能会收集各种流行病学数据。对于相同的终点，这些人类数据通常比动物数据具有更高的相关性，例如，药代动力学，药理作用和不良临床作用（</w:t>
      </w:r>
      <w:r w:rsidRPr="00873522">
        <w:t>36</w:t>
      </w:r>
      <w:r w:rsidRPr="00873522">
        <w:rPr>
          <w:rFonts w:ascii="宋体" w:eastAsia="宋体" w:hAnsi="宋体" w:cs="宋体" w:hint="eastAsia"/>
        </w:rPr>
        <w:t>）。</w:t>
      </w:r>
      <w:r w:rsidRPr="00873522">
        <w:t xml:space="preserve"> API</w:t>
      </w:r>
      <w:r w:rsidRPr="00873522">
        <w:rPr>
          <w:rFonts w:ascii="宋体" w:eastAsia="宋体" w:hAnsi="宋体" w:cs="宋体" w:hint="eastAsia"/>
        </w:rPr>
        <w:t>强大的临床数据集的特征可能包括：</w:t>
      </w:r>
    </w:p>
    <w:p w14:paraId="440A2F55" w14:textId="77777777" w:rsidR="00E31B75" w:rsidRPr="00873522" w:rsidRDefault="00E31B75" w:rsidP="00E31B75">
      <w:pPr>
        <w:spacing w:after="54"/>
        <w:ind w:left="-15"/>
      </w:pPr>
      <w:r w:rsidRPr="00873522">
        <w:rPr>
          <w:rFonts w:ascii="宋体" w:eastAsia="宋体" w:hAnsi="宋体" w:cs="宋体" w:hint="eastAsia"/>
        </w:rPr>
        <w:t>（</w:t>
      </w:r>
      <w:r w:rsidRPr="00873522">
        <w:t>1</w:t>
      </w:r>
      <w:r w:rsidRPr="00873522">
        <w:rPr>
          <w:rFonts w:ascii="宋体" w:eastAsia="宋体" w:hAnsi="宋体" w:cs="宋体" w:hint="eastAsia"/>
        </w:rPr>
        <w:t>）有关药理作用及其剂量依赖性，适应症和治疗剂量范围（包括敏感亚群的剂量）的信息；</w:t>
      </w:r>
    </w:p>
    <w:p w14:paraId="55C6B841" w14:textId="77777777" w:rsidR="00E31B75" w:rsidRPr="00873522" w:rsidRDefault="00E31B75" w:rsidP="00E31B75">
      <w:pPr>
        <w:spacing w:after="54"/>
        <w:ind w:left="-15"/>
      </w:pPr>
      <w:r w:rsidRPr="00873522">
        <w:rPr>
          <w:rFonts w:ascii="宋体" w:eastAsia="宋体" w:hAnsi="宋体" w:cs="宋体" w:hint="eastAsia"/>
        </w:rPr>
        <w:t>（</w:t>
      </w:r>
      <w:r w:rsidRPr="00873522">
        <w:t>2</w:t>
      </w:r>
      <w:r w:rsidRPr="00873522">
        <w:rPr>
          <w:rFonts w:ascii="宋体" w:eastAsia="宋体" w:hAnsi="宋体" w:cs="宋体" w:hint="eastAsia"/>
        </w:rPr>
        <w:t>）在治疗剂量下观察到的不良反应，最好是在这些剂量下还存在剂量依赖性，包括在</w:t>
      </w:r>
      <w:proofErr w:type="gramStart"/>
      <w:r w:rsidRPr="00873522">
        <w:rPr>
          <w:rFonts w:ascii="宋体" w:eastAsia="宋体" w:hAnsi="宋体" w:cs="宋体" w:hint="eastAsia"/>
        </w:rPr>
        <w:t>亚治疗</w:t>
      </w:r>
      <w:proofErr w:type="gramEnd"/>
      <w:r w:rsidRPr="00873522">
        <w:rPr>
          <w:rFonts w:ascii="宋体" w:eastAsia="宋体" w:hAnsi="宋体" w:cs="宋体" w:hint="eastAsia"/>
        </w:rPr>
        <w:t>剂量和</w:t>
      </w:r>
      <w:proofErr w:type="gramStart"/>
      <w:r w:rsidRPr="00873522">
        <w:rPr>
          <w:rFonts w:ascii="宋体" w:eastAsia="宋体" w:hAnsi="宋体" w:cs="宋体" w:hint="eastAsia"/>
        </w:rPr>
        <w:t>超治疗</w:t>
      </w:r>
      <w:proofErr w:type="gramEnd"/>
      <w:r w:rsidRPr="00873522">
        <w:rPr>
          <w:rFonts w:ascii="宋体" w:eastAsia="宋体" w:hAnsi="宋体" w:cs="宋体" w:hint="eastAsia"/>
        </w:rPr>
        <w:t>剂量下的不良反应；</w:t>
      </w:r>
    </w:p>
    <w:p w14:paraId="4397706D" w14:textId="77777777" w:rsidR="00E31B75" w:rsidRPr="00873522" w:rsidRDefault="00E31B75" w:rsidP="00E31B75">
      <w:pPr>
        <w:spacing w:after="54"/>
        <w:ind w:left="-15"/>
      </w:pPr>
      <w:r w:rsidRPr="00873522">
        <w:rPr>
          <w:rFonts w:ascii="宋体" w:eastAsia="宋体" w:hAnsi="宋体" w:cs="宋体" w:hint="eastAsia"/>
        </w:rPr>
        <w:t>（</w:t>
      </w:r>
      <w:r w:rsidRPr="00873522">
        <w:t>3</w:t>
      </w:r>
      <w:r w:rsidRPr="00873522">
        <w:rPr>
          <w:rFonts w:ascii="宋体" w:eastAsia="宋体" w:hAnsi="宋体" w:cs="宋体" w:hint="eastAsia"/>
        </w:rPr>
        <w:t>）人体内的药代动力学，包括健康人群和患者人群中所有可用的吸收，分布，代谢和排泄（</w:t>
      </w:r>
      <w:r w:rsidRPr="00873522">
        <w:t>ADME</w:t>
      </w:r>
      <w:r w:rsidRPr="00873522">
        <w:rPr>
          <w:rFonts w:ascii="宋体" w:eastAsia="宋体" w:hAnsi="宋体" w:cs="宋体" w:hint="eastAsia"/>
        </w:rPr>
        <w:t>）参数；和</w:t>
      </w:r>
    </w:p>
    <w:p w14:paraId="3029A799" w14:textId="23C0E522" w:rsidR="0026097E" w:rsidRPr="00873522" w:rsidRDefault="00E31B75" w:rsidP="00E31B75">
      <w:pPr>
        <w:spacing w:after="54"/>
        <w:ind w:left="-15"/>
      </w:pPr>
      <w:r w:rsidRPr="00873522">
        <w:rPr>
          <w:rFonts w:ascii="宋体" w:eastAsia="宋体" w:hAnsi="宋体" w:cs="宋体" w:hint="eastAsia"/>
        </w:rPr>
        <w:t>（</w:t>
      </w:r>
      <w:r w:rsidRPr="00873522">
        <w:t>4</w:t>
      </w:r>
      <w:r w:rsidRPr="00873522">
        <w:rPr>
          <w:rFonts w:ascii="宋体" w:eastAsia="宋体" w:hAnsi="宋体" w:cs="宋体" w:hint="eastAsia"/>
        </w:rPr>
        <w:t>）有关特定亚群的影响和预防措施</w:t>
      </w:r>
      <w:r w:rsidRPr="00873522">
        <w:t>/</w:t>
      </w:r>
      <w:r w:rsidRPr="00873522">
        <w:rPr>
          <w:rFonts w:ascii="宋体" w:eastAsia="宋体" w:hAnsi="宋体" w:cs="宋体" w:hint="eastAsia"/>
        </w:rPr>
        <w:t>禁忌症的信息，例如严重肾或肝功能不全的患者，孕妇，儿童或老年人</w:t>
      </w:r>
      <w:r w:rsidR="00284695" w:rsidRPr="00873522">
        <w:t>.</w:t>
      </w:r>
    </w:p>
    <w:p w14:paraId="490F6635" w14:textId="4CE2102A" w:rsidR="0026097E" w:rsidRPr="00873522" w:rsidRDefault="00284695">
      <w:pPr>
        <w:spacing w:after="24" w:line="248" w:lineRule="auto"/>
        <w:ind w:left="185" w:hanging="10"/>
      </w:pPr>
      <w:r w:rsidRPr="00873522">
        <w:t>5.5 Identification of the Critical Effect(</w:t>
      </w:r>
      <w:r w:rsidR="00544D6C" w:rsidRPr="00544D6C">
        <w:rPr>
          <w:rFonts w:ascii="宋体" w:eastAsia="宋体" w:hAnsi="宋体" w:cs="宋体" w:hint="eastAsia"/>
        </w:rPr>
        <w:t>确定关键效应</w:t>
      </w:r>
      <w:r w:rsidRPr="00873522">
        <w:t>):</w:t>
      </w:r>
    </w:p>
    <w:p w14:paraId="3D6AC960" w14:textId="7E82DB59" w:rsidR="00E31B75" w:rsidRDefault="00E31B75" w:rsidP="00E31B75">
      <w:pPr>
        <w:numPr>
          <w:ilvl w:val="2"/>
          <w:numId w:val="2"/>
        </w:numPr>
        <w:spacing w:after="105"/>
        <w:ind w:left="142" w:firstLine="142"/>
      </w:pPr>
      <w:r w:rsidRPr="00873522">
        <w:rPr>
          <w:rFonts w:ascii="宋体" w:eastAsia="宋体" w:hAnsi="宋体" w:cs="宋体" w:hint="eastAsia"/>
        </w:rPr>
        <w:t>此步骤的目的是确定最有可能与目标人群（患者）和目标接触途径（口服，肠胃外，其他）有关的效应。</w:t>
      </w:r>
      <w:r w:rsidRPr="00873522">
        <w:t xml:space="preserve"> “</w:t>
      </w:r>
      <w:r w:rsidRPr="00873522">
        <w:rPr>
          <w:rFonts w:ascii="宋体" w:eastAsia="宋体" w:hAnsi="宋体" w:cs="宋体" w:hint="eastAsia"/>
        </w:rPr>
        <w:t>严重影响</w:t>
      </w:r>
      <w:r w:rsidRPr="00873522">
        <w:t>”</w:t>
      </w:r>
      <w:r w:rsidRPr="00873522">
        <w:rPr>
          <w:rFonts w:ascii="宋体" w:eastAsia="宋体" w:hAnsi="宋体" w:cs="宋体" w:hint="eastAsia"/>
        </w:rPr>
        <w:t>已定义为</w:t>
      </w:r>
      <w:r w:rsidRPr="00873522">
        <w:t>“</w:t>
      </w:r>
      <w:r w:rsidRPr="00873522">
        <w:rPr>
          <w:rFonts w:ascii="宋体" w:eastAsia="宋体" w:hAnsi="宋体" w:cs="宋体" w:hint="eastAsia"/>
        </w:rPr>
        <w:t>被认为与人类有关的最敏感的不良反应</w:t>
      </w:r>
      <w:r w:rsidRPr="00873522">
        <w:t>”</w:t>
      </w:r>
      <w:r w:rsidRPr="00873522">
        <w:rPr>
          <w:rFonts w:ascii="宋体" w:eastAsia="宋体" w:hAnsi="宋体" w:cs="宋体" w:hint="eastAsia"/>
        </w:rPr>
        <w:t>（</w:t>
      </w:r>
      <w:r w:rsidRPr="00873522">
        <w:t>37</w:t>
      </w:r>
      <w:r w:rsidRPr="00873522">
        <w:rPr>
          <w:rFonts w:ascii="宋体" w:eastAsia="宋体" w:hAnsi="宋体" w:cs="宋体" w:hint="eastAsia"/>
        </w:rPr>
        <w:t>）或</w:t>
      </w:r>
      <w:r w:rsidRPr="00873522">
        <w:t>“</w:t>
      </w:r>
      <w:r w:rsidRPr="00873522">
        <w:rPr>
          <w:rFonts w:ascii="宋体" w:eastAsia="宋体" w:hAnsi="宋体" w:cs="宋体" w:hint="eastAsia"/>
        </w:rPr>
        <w:t>随着剂量增加而观察到的第一个临床上显着的不良反应</w:t>
      </w:r>
      <w:r w:rsidRPr="00873522">
        <w:t>”</w:t>
      </w:r>
      <w:r w:rsidRPr="00873522">
        <w:rPr>
          <w:rFonts w:ascii="宋体" w:eastAsia="宋体" w:hAnsi="宋体" w:cs="宋体" w:hint="eastAsia"/>
        </w:rPr>
        <w:t>（</w:t>
      </w:r>
      <w:r w:rsidRPr="00873522">
        <w:t>29</w:t>
      </w:r>
      <w:r w:rsidRPr="00873522">
        <w:rPr>
          <w:rFonts w:ascii="宋体" w:eastAsia="宋体" w:hAnsi="宋体" w:cs="宋体" w:hint="eastAsia"/>
        </w:rPr>
        <w:t>、</w:t>
      </w:r>
      <w:r w:rsidRPr="00873522">
        <w:t>38</w:t>
      </w:r>
      <w:r w:rsidRPr="00873522">
        <w:rPr>
          <w:rFonts w:ascii="宋体" w:eastAsia="宋体" w:hAnsi="宋体" w:cs="宋体" w:hint="eastAsia"/>
        </w:rPr>
        <w:t>）和</w:t>
      </w:r>
      <w:r w:rsidRPr="00873522">
        <w:t>“</w:t>
      </w:r>
      <w:r w:rsidRPr="00873522">
        <w:rPr>
          <w:rFonts w:ascii="宋体" w:eastAsia="宋体" w:hAnsi="宋体" w:cs="宋体" w:hint="eastAsia"/>
        </w:rPr>
        <w:t>第一个当药物的剂量率增加时，对最</w:t>
      </w:r>
      <w:r w:rsidRPr="00873522">
        <w:t>[</w:t>
      </w:r>
      <w:r w:rsidRPr="00873522">
        <w:rPr>
          <w:rFonts w:ascii="宋体" w:eastAsia="宋体" w:hAnsi="宋体" w:cs="宋体" w:hint="eastAsia"/>
        </w:rPr>
        <w:t>相关或</w:t>
      </w:r>
      <w:r w:rsidRPr="00873522">
        <w:t>]</w:t>
      </w:r>
      <w:r w:rsidRPr="00873522">
        <w:rPr>
          <w:rFonts w:ascii="宋体" w:eastAsia="宋体" w:hAnsi="宋体" w:cs="宋体" w:hint="eastAsia"/>
        </w:rPr>
        <w:t>敏感物种产生的不良反应或其已知的前体</w:t>
      </w:r>
      <w:r w:rsidRPr="00873522">
        <w:t>”</w:t>
      </w:r>
      <w:r w:rsidRPr="00873522">
        <w:rPr>
          <w:rFonts w:ascii="宋体" w:eastAsia="宋体" w:hAnsi="宋体" w:cs="宋体" w:hint="eastAsia"/>
        </w:rPr>
        <w:t>（</w:t>
      </w:r>
      <w:r w:rsidRPr="00873522">
        <w:t>39</w:t>
      </w:r>
      <w:r w:rsidRPr="00873522">
        <w:rPr>
          <w:rFonts w:ascii="宋体" w:eastAsia="宋体" w:hAnsi="宋体" w:cs="宋体" w:hint="eastAsia"/>
        </w:rPr>
        <w:t>）。关键作用应与临床有关（</w:t>
      </w:r>
      <w:r w:rsidRPr="00873522">
        <w:t>1-3</w:t>
      </w:r>
      <w:r w:rsidRPr="00873522">
        <w:rPr>
          <w:rFonts w:ascii="宋体" w:eastAsia="宋体" w:hAnsi="宋体" w:cs="宋体" w:hint="eastAsia"/>
        </w:rPr>
        <w:t>、</w:t>
      </w:r>
      <w:r w:rsidRPr="00873522">
        <w:t>40</w:t>
      </w:r>
      <w:r w:rsidRPr="00873522">
        <w:rPr>
          <w:rFonts w:ascii="宋体" w:eastAsia="宋体" w:hAnsi="宋体" w:cs="宋体" w:hint="eastAsia"/>
        </w:rPr>
        <w:t>）。为了评估不良反应的临床相关性，评估了动物物种与人类之间的效应相似性</w:t>
      </w:r>
      <w:r>
        <w:rPr>
          <w:rFonts w:ascii="宋体" w:eastAsia="宋体" w:hAnsi="宋体" w:cs="宋体" w:hint="eastAsia"/>
        </w:rPr>
        <w:t>以及动物模型与人类之间的同源性证明（</w:t>
      </w:r>
      <w:r>
        <w:t>41</w:t>
      </w:r>
      <w:r>
        <w:rPr>
          <w:rFonts w:ascii="宋体" w:eastAsia="宋体" w:hAnsi="宋体" w:cs="宋体" w:hint="eastAsia"/>
        </w:rPr>
        <w:t>）。</w:t>
      </w:r>
    </w:p>
    <w:p w14:paraId="44BC38F3" w14:textId="7D25D473" w:rsidR="00E31B75" w:rsidRDefault="00E31B75" w:rsidP="00E31B75">
      <w:pPr>
        <w:numPr>
          <w:ilvl w:val="2"/>
          <w:numId w:val="2"/>
        </w:numPr>
        <w:spacing w:after="105"/>
        <w:ind w:left="0" w:firstLine="142"/>
      </w:pPr>
      <w:r>
        <w:rPr>
          <w:rFonts w:ascii="宋体" w:eastAsia="宋体" w:hAnsi="宋体" w:cs="宋体" w:hint="eastAsia"/>
        </w:rPr>
        <w:t>对于具有良好治疗指数的原料药，在引起药理作用的剂量与引起不良反应的剂量之间有很大的余量。在</w:t>
      </w:r>
      <w:r>
        <w:rPr>
          <w:rFonts w:ascii="宋体" w:eastAsia="宋体" w:hAnsi="宋体" w:cs="宋体" w:hint="eastAsia"/>
        </w:rPr>
        <w:lastRenderedPageBreak/>
        <w:t>这种情况下，</w:t>
      </w:r>
      <w:r w:rsidRPr="00544D6C">
        <w:rPr>
          <w:rFonts w:ascii="宋体" w:eastAsia="宋体" w:hAnsi="宋体" w:cs="宋体" w:hint="eastAsia"/>
          <w:highlight w:val="yellow"/>
        </w:rPr>
        <w:t>关键作用通常被确定为预期的药理活性。这是基于以下假设：在潜在的交叉污染情况下，所有预期的药理作用和意外的毒性作用均被视为不利。在本文中，</w:t>
      </w:r>
      <w:r w:rsidRPr="00544D6C">
        <w:rPr>
          <w:highlight w:val="yellow"/>
        </w:rPr>
        <w:t>“</w:t>
      </w:r>
      <w:r w:rsidRPr="00544D6C">
        <w:rPr>
          <w:rFonts w:ascii="宋体" w:eastAsia="宋体" w:hAnsi="宋体" w:cs="宋体" w:hint="eastAsia"/>
          <w:highlight w:val="yellow"/>
        </w:rPr>
        <w:t>临界效应</w:t>
      </w:r>
      <w:r w:rsidRPr="00544D6C">
        <w:rPr>
          <w:highlight w:val="yellow"/>
        </w:rPr>
        <w:t>”</w:t>
      </w:r>
      <w:r w:rsidRPr="00544D6C">
        <w:rPr>
          <w:rFonts w:ascii="宋体" w:eastAsia="宋体" w:hAnsi="宋体" w:cs="宋体" w:hint="eastAsia"/>
          <w:highlight w:val="yellow"/>
        </w:rPr>
        <w:t>是指本质上不希望但不一定不利的先导效应。在设定</w:t>
      </w:r>
      <w:r w:rsidRPr="00544D6C">
        <w:rPr>
          <w:highlight w:val="yellow"/>
        </w:rPr>
        <w:t>HBEL</w:t>
      </w:r>
      <w:r w:rsidRPr="00544D6C">
        <w:rPr>
          <w:rFonts w:ascii="宋体" w:eastAsia="宋体" w:hAnsi="宋体" w:cs="宋体" w:hint="eastAsia"/>
          <w:highlight w:val="yellow"/>
        </w:rPr>
        <w:t>的情况下，药理作用被认为是不利的</w:t>
      </w:r>
      <w:r>
        <w:rPr>
          <w:rFonts w:ascii="宋体" w:eastAsia="宋体" w:hAnsi="宋体" w:cs="宋体" w:hint="eastAsia"/>
        </w:rPr>
        <w:t>（</w:t>
      </w:r>
      <w:r>
        <w:t>37</w:t>
      </w:r>
      <w:r>
        <w:rPr>
          <w:rFonts w:ascii="宋体" w:eastAsia="宋体" w:hAnsi="宋体" w:cs="宋体" w:hint="eastAsia"/>
        </w:rPr>
        <w:t>）。</w:t>
      </w:r>
    </w:p>
    <w:p w14:paraId="1A4BC6D0" w14:textId="7E1E9793" w:rsidR="0026097E" w:rsidRDefault="00E31B75" w:rsidP="00E31B75">
      <w:pPr>
        <w:numPr>
          <w:ilvl w:val="2"/>
          <w:numId w:val="2"/>
        </w:numPr>
        <w:spacing w:after="105"/>
        <w:ind w:left="142" w:firstLine="142"/>
      </w:pPr>
      <w:r>
        <w:rPr>
          <w:rFonts w:ascii="宋体" w:eastAsia="宋体" w:hAnsi="宋体" w:cs="宋体" w:hint="eastAsia"/>
        </w:rPr>
        <w:t>每个确定的关键效应一般都需要应用不同的</w:t>
      </w:r>
      <w:r>
        <w:t>AF</w:t>
      </w:r>
      <w:r>
        <w:rPr>
          <w:rFonts w:ascii="宋体" w:eastAsia="宋体" w:hAnsi="宋体" w:cs="宋体" w:hint="eastAsia"/>
        </w:rPr>
        <w:t>，这意味着在确定的最低剂量下发生的效应可能并不总是导致最低的</w:t>
      </w:r>
      <w:r>
        <w:t>HBEL</w:t>
      </w:r>
      <w:r>
        <w:rPr>
          <w:rFonts w:ascii="宋体" w:eastAsia="宋体" w:hAnsi="宋体" w:cs="宋体" w:hint="eastAsia"/>
        </w:rPr>
        <w:t>值。建议使用每个相关的，可靠的，关键的影响来得出</w:t>
      </w:r>
      <w:r>
        <w:t>HBEL</w:t>
      </w:r>
      <w:r w:rsidR="00284695">
        <w:t xml:space="preserve"> </w:t>
      </w:r>
      <w:r w:rsidR="00284695">
        <w:rPr>
          <w:b/>
        </w:rPr>
        <w:t>(</w:t>
      </w:r>
      <w:r w:rsidR="00284695">
        <w:rPr>
          <w:b/>
          <w:color w:val="C1151A"/>
        </w:rPr>
        <w:t>18</w:t>
      </w:r>
      <w:r w:rsidR="00284695">
        <w:rPr>
          <w:b/>
        </w:rPr>
        <w:t>)</w:t>
      </w:r>
      <w:r w:rsidR="00284695">
        <w:t>.</w:t>
      </w:r>
    </w:p>
    <w:p w14:paraId="6816CB76" w14:textId="0A8079EF" w:rsidR="0026097E" w:rsidRPr="005F06FF" w:rsidRDefault="00284695">
      <w:pPr>
        <w:spacing w:after="26" w:line="248" w:lineRule="auto"/>
        <w:ind w:left="185" w:hanging="10"/>
      </w:pPr>
      <w:r w:rsidRPr="005F06FF">
        <w:t xml:space="preserve">5.6 </w:t>
      </w:r>
      <w:proofErr w:type="spellStart"/>
      <w:r w:rsidR="00E31B75" w:rsidRPr="005F06FF">
        <w:t>PoD</w:t>
      </w:r>
      <w:proofErr w:type="spellEnd"/>
      <w:r w:rsidR="00E31B75" w:rsidRPr="005F06FF">
        <w:rPr>
          <w:rFonts w:ascii="宋体" w:eastAsia="宋体" w:hAnsi="宋体" w:cs="宋体" w:hint="eastAsia"/>
        </w:rPr>
        <w:t>的确定</w:t>
      </w:r>
      <w:r w:rsidRPr="005F06FF">
        <w:t>:</w:t>
      </w:r>
    </w:p>
    <w:p w14:paraId="1C2F13F8" w14:textId="77777777" w:rsidR="00873522" w:rsidRPr="00544D6C" w:rsidRDefault="00873522" w:rsidP="00873522">
      <w:pPr>
        <w:numPr>
          <w:ilvl w:val="2"/>
          <w:numId w:val="5"/>
        </w:numPr>
        <w:spacing w:after="62"/>
        <w:ind w:left="142" w:firstLine="0"/>
        <w:rPr>
          <w:highlight w:val="yellow"/>
        </w:rPr>
      </w:pPr>
      <w:proofErr w:type="spellStart"/>
      <w:r w:rsidRPr="00544D6C">
        <w:rPr>
          <w:highlight w:val="yellow"/>
        </w:rPr>
        <w:t>PoD</w:t>
      </w:r>
      <w:proofErr w:type="spellEnd"/>
      <w:r w:rsidRPr="00544D6C">
        <w:rPr>
          <w:rFonts w:ascii="宋体" w:eastAsia="宋体" w:hAnsi="宋体" w:cs="宋体" w:hint="eastAsia"/>
          <w:highlight w:val="yellow"/>
        </w:rPr>
        <w:t>的确定是建立在数据收集，剂量反应评估和识别候选关键效应的基础上的（</w:t>
      </w:r>
      <w:r w:rsidRPr="00544D6C">
        <w:rPr>
          <w:highlight w:val="yellow"/>
        </w:rPr>
        <w:t>28</w:t>
      </w:r>
      <w:r w:rsidRPr="00544D6C">
        <w:rPr>
          <w:rFonts w:ascii="宋体" w:eastAsia="宋体" w:hAnsi="宋体" w:cs="宋体" w:hint="eastAsia"/>
          <w:highlight w:val="yellow"/>
        </w:rPr>
        <w:t>）。它具有剂量的大小（例如，</w:t>
      </w:r>
      <w:r w:rsidRPr="00544D6C">
        <w:rPr>
          <w:highlight w:val="yellow"/>
        </w:rPr>
        <w:t>mg / kg</w:t>
      </w:r>
      <w:r w:rsidRPr="00544D6C">
        <w:rPr>
          <w:rFonts w:ascii="宋体" w:eastAsia="宋体" w:hAnsi="宋体" w:cs="宋体" w:hint="eastAsia"/>
          <w:highlight w:val="yellow"/>
        </w:rPr>
        <w:t>或</w:t>
      </w:r>
      <w:r w:rsidRPr="00544D6C">
        <w:rPr>
          <w:highlight w:val="yellow"/>
        </w:rPr>
        <w:t>mg /</w:t>
      </w:r>
      <w:r w:rsidRPr="00544D6C">
        <w:rPr>
          <w:rFonts w:ascii="宋体" w:eastAsia="宋体" w:hAnsi="宋体" w:cs="宋体" w:hint="eastAsia"/>
          <w:highlight w:val="yellow"/>
        </w:rPr>
        <w:t>人）。关键效应的</w:t>
      </w:r>
      <w:proofErr w:type="spellStart"/>
      <w:r w:rsidRPr="00544D6C">
        <w:rPr>
          <w:highlight w:val="yellow"/>
        </w:rPr>
        <w:t>PoD</w:t>
      </w:r>
      <w:proofErr w:type="spellEnd"/>
      <w:r w:rsidRPr="00544D6C">
        <w:rPr>
          <w:rFonts w:ascii="宋体" w:eastAsia="宋体" w:hAnsi="宋体" w:cs="宋体" w:hint="eastAsia"/>
          <w:highlight w:val="yellow"/>
        </w:rPr>
        <w:t>用于得出与人体暴露相关的最低</w:t>
      </w:r>
      <w:r w:rsidRPr="00544D6C">
        <w:rPr>
          <w:highlight w:val="yellow"/>
        </w:rPr>
        <w:t>HBEL</w:t>
      </w:r>
      <w:r w:rsidRPr="00544D6C">
        <w:rPr>
          <w:rFonts w:ascii="宋体" w:eastAsia="宋体" w:hAnsi="宋体" w:cs="宋体" w:hint="eastAsia"/>
          <w:highlight w:val="yellow"/>
        </w:rPr>
        <w:t>。在确定</w:t>
      </w:r>
      <w:proofErr w:type="spellStart"/>
      <w:r w:rsidRPr="00544D6C">
        <w:rPr>
          <w:highlight w:val="yellow"/>
        </w:rPr>
        <w:t>PoD</w:t>
      </w:r>
      <w:proofErr w:type="spellEnd"/>
      <w:r w:rsidRPr="00544D6C">
        <w:rPr>
          <w:rFonts w:ascii="宋体" w:eastAsia="宋体" w:hAnsi="宋体" w:cs="宋体" w:hint="eastAsia"/>
          <w:highlight w:val="yellow"/>
        </w:rPr>
        <w:t>时，应评估所有相关的终点，包括非临床和临床数据。理想情况下，</w:t>
      </w:r>
      <w:proofErr w:type="spellStart"/>
      <w:r w:rsidRPr="00544D6C">
        <w:rPr>
          <w:highlight w:val="yellow"/>
        </w:rPr>
        <w:t>PoD</w:t>
      </w:r>
      <w:proofErr w:type="spellEnd"/>
      <w:r w:rsidRPr="00544D6C">
        <w:rPr>
          <w:rFonts w:ascii="宋体" w:eastAsia="宋体" w:hAnsi="宋体" w:cs="宋体" w:hint="eastAsia"/>
          <w:highlight w:val="yellow"/>
        </w:rPr>
        <w:t>基于最敏感或相关物种的无观察到的不良反应水平（</w:t>
      </w:r>
      <w:r w:rsidRPr="00544D6C">
        <w:rPr>
          <w:highlight w:val="yellow"/>
        </w:rPr>
        <w:t>NOAEL</w:t>
      </w:r>
      <w:r w:rsidRPr="00544D6C">
        <w:rPr>
          <w:rFonts w:ascii="宋体" w:eastAsia="宋体" w:hAnsi="宋体" w:cs="宋体" w:hint="eastAsia"/>
          <w:highlight w:val="yellow"/>
        </w:rPr>
        <w:t>）或无观察到的不良反应水平（</w:t>
      </w:r>
      <w:r w:rsidRPr="00544D6C">
        <w:rPr>
          <w:highlight w:val="yellow"/>
        </w:rPr>
        <w:t>NOEL</w:t>
      </w:r>
      <w:r w:rsidRPr="00544D6C">
        <w:rPr>
          <w:rFonts w:ascii="宋体" w:eastAsia="宋体" w:hAnsi="宋体" w:cs="宋体" w:hint="eastAsia"/>
          <w:highlight w:val="yellow"/>
        </w:rPr>
        <w:t>），或基于两者的关键作用</w:t>
      </w:r>
      <w:r w:rsidRPr="00544D6C">
        <w:rPr>
          <w:highlight w:val="yellow"/>
        </w:rPr>
        <w:t>[ICH Q3C</w:t>
      </w:r>
      <w:r w:rsidRPr="00544D6C">
        <w:rPr>
          <w:rFonts w:ascii="宋体" w:eastAsia="宋体" w:hAnsi="宋体" w:cs="宋体" w:hint="eastAsia"/>
          <w:highlight w:val="yellow"/>
        </w:rPr>
        <w:t>（</w:t>
      </w:r>
      <w:r w:rsidRPr="00544D6C">
        <w:rPr>
          <w:highlight w:val="yellow"/>
        </w:rPr>
        <w:t xml:space="preserve"> R6</w:t>
      </w:r>
      <w:r w:rsidRPr="00544D6C">
        <w:rPr>
          <w:rFonts w:ascii="宋体" w:eastAsia="宋体" w:hAnsi="宋体" w:cs="宋体" w:hint="eastAsia"/>
          <w:highlight w:val="yellow"/>
        </w:rPr>
        <w:t>）（</w:t>
      </w:r>
      <w:r w:rsidRPr="00544D6C">
        <w:rPr>
          <w:highlight w:val="yellow"/>
        </w:rPr>
        <w:t>37</w:t>
      </w:r>
      <w:r w:rsidRPr="00544D6C">
        <w:rPr>
          <w:rFonts w:ascii="宋体" w:eastAsia="宋体" w:hAnsi="宋体" w:cs="宋体" w:hint="eastAsia"/>
          <w:highlight w:val="yellow"/>
        </w:rPr>
        <w:t>）。当没有可用的</w:t>
      </w:r>
      <w:r w:rsidRPr="00544D6C">
        <w:rPr>
          <w:highlight w:val="yellow"/>
        </w:rPr>
        <w:t>NOAEL</w:t>
      </w:r>
      <w:r w:rsidRPr="00544D6C">
        <w:rPr>
          <w:rFonts w:ascii="宋体" w:eastAsia="宋体" w:hAnsi="宋体" w:cs="宋体" w:hint="eastAsia"/>
          <w:highlight w:val="yellow"/>
        </w:rPr>
        <w:t>或</w:t>
      </w:r>
      <w:r w:rsidRPr="00544D6C">
        <w:rPr>
          <w:highlight w:val="yellow"/>
        </w:rPr>
        <w:t>NOEL</w:t>
      </w:r>
      <w:r w:rsidRPr="00544D6C">
        <w:rPr>
          <w:rFonts w:ascii="宋体" w:eastAsia="宋体" w:hAnsi="宋体" w:cs="宋体" w:hint="eastAsia"/>
          <w:highlight w:val="yellow"/>
        </w:rPr>
        <w:t>时，可以将最低观察到的效果级别（</w:t>
      </w:r>
      <w:r w:rsidRPr="00544D6C">
        <w:rPr>
          <w:highlight w:val="yellow"/>
        </w:rPr>
        <w:t>LOEL</w:t>
      </w:r>
      <w:r w:rsidRPr="00544D6C">
        <w:rPr>
          <w:rFonts w:ascii="宋体" w:eastAsia="宋体" w:hAnsi="宋体" w:cs="宋体" w:hint="eastAsia"/>
          <w:highlight w:val="yellow"/>
        </w:rPr>
        <w:t>）或最低观察到的不利效果级别（</w:t>
      </w:r>
      <w:r w:rsidRPr="00544D6C">
        <w:rPr>
          <w:highlight w:val="yellow"/>
        </w:rPr>
        <w:t>LOAEL</w:t>
      </w:r>
      <w:r w:rsidRPr="00544D6C">
        <w:rPr>
          <w:rFonts w:ascii="宋体" w:eastAsia="宋体" w:hAnsi="宋体" w:cs="宋体" w:hint="eastAsia"/>
          <w:highlight w:val="yellow"/>
        </w:rPr>
        <w:t>）用作</w:t>
      </w:r>
      <w:proofErr w:type="spellStart"/>
      <w:r w:rsidRPr="00544D6C">
        <w:rPr>
          <w:highlight w:val="yellow"/>
        </w:rPr>
        <w:t>PoD</w:t>
      </w:r>
      <w:proofErr w:type="spellEnd"/>
      <w:r w:rsidRPr="00544D6C">
        <w:rPr>
          <w:rFonts w:ascii="宋体" w:eastAsia="宋体" w:hAnsi="宋体" w:cs="宋体" w:hint="eastAsia"/>
          <w:highlight w:val="yellow"/>
        </w:rPr>
        <w:t>。</w:t>
      </w:r>
    </w:p>
    <w:p w14:paraId="551DD7FA" w14:textId="4BAE8BE2" w:rsidR="00873522" w:rsidRDefault="00873522" w:rsidP="00873522">
      <w:pPr>
        <w:numPr>
          <w:ilvl w:val="2"/>
          <w:numId w:val="5"/>
        </w:numPr>
        <w:spacing w:after="62"/>
        <w:ind w:left="142" w:firstLine="0"/>
      </w:pPr>
      <w:r>
        <w:t>NOAEL</w:t>
      </w:r>
      <w:r>
        <w:rPr>
          <w:rFonts w:ascii="宋体" w:eastAsia="宋体" w:hAnsi="宋体" w:cs="宋体" w:hint="eastAsia"/>
        </w:rPr>
        <w:t>方法有其局限性，包括：（</w:t>
      </w:r>
      <w:r>
        <w:t>1</w:t>
      </w:r>
      <w:r>
        <w:rPr>
          <w:rFonts w:ascii="宋体" w:eastAsia="宋体" w:hAnsi="宋体" w:cs="宋体" w:hint="eastAsia"/>
        </w:rPr>
        <w:t>）</w:t>
      </w:r>
      <w:r>
        <w:t>NOAEL</w:t>
      </w:r>
      <w:r>
        <w:rPr>
          <w:rFonts w:ascii="宋体" w:eastAsia="宋体" w:hAnsi="宋体" w:cs="宋体" w:hint="eastAsia"/>
        </w:rPr>
        <w:t>值的确定受测试剂量的限制；</w:t>
      </w:r>
      <w:r>
        <w:t xml:space="preserve"> </w:t>
      </w:r>
      <w:r>
        <w:rPr>
          <w:rFonts w:ascii="宋体" w:eastAsia="宋体" w:hAnsi="宋体" w:cs="宋体" w:hint="eastAsia"/>
        </w:rPr>
        <w:t>（</w:t>
      </w:r>
      <w:r>
        <w:t>2</w:t>
      </w:r>
      <w:r>
        <w:rPr>
          <w:rFonts w:ascii="宋体" w:eastAsia="宋体" w:hAnsi="宋体" w:cs="宋体" w:hint="eastAsia"/>
        </w:rPr>
        <w:t>）</w:t>
      </w:r>
      <w:r>
        <w:t>NOAEL</w:t>
      </w:r>
      <w:r>
        <w:rPr>
          <w:rFonts w:ascii="宋体" w:eastAsia="宋体" w:hAnsi="宋体" w:cs="宋体" w:hint="eastAsia"/>
        </w:rPr>
        <w:t>不一定代表真实的</w:t>
      </w:r>
      <w:r>
        <w:t>0</w:t>
      </w:r>
      <w:r>
        <w:rPr>
          <w:rFonts w:ascii="宋体" w:eastAsia="宋体" w:hAnsi="宋体" w:cs="宋体" w:hint="eastAsia"/>
        </w:rPr>
        <w:t>％响应（也就是说，由于样本量的考虑，研究可能没有足够的能力来检测不良信号</w:t>
      </w:r>
      <w:r>
        <w:t>“</w:t>
      </w:r>
      <w:r>
        <w:rPr>
          <w:rFonts w:ascii="宋体" w:eastAsia="宋体" w:hAnsi="宋体" w:cs="宋体" w:hint="eastAsia"/>
        </w:rPr>
        <w:t>信号</w:t>
      </w:r>
      <w:r>
        <w:t>”</w:t>
      </w:r>
      <w:r>
        <w:rPr>
          <w:rFonts w:ascii="宋体" w:eastAsia="宋体" w:hAnsi="宋体" w:cs="宋体" w:hint="eastAsia"/>
        </w:rPr>
        <w:t>）；</w:t>
      </w:r>
      <w:r>
        <w:t xml:space="preserve"> </w:t>
      </w:r>
      <w:r>
        <w:rPr>
          <w:rFonts w:ascii="宋体" w:eastAsia="宋体" w:hAnsi="宋体" w:cs="宋体" w:hint="eastAsia"/>
        </w:rPr>
        <w:t>（</w:t>
      </w:r>
      <w:r>
        <w:t>3</w:t>
      </w:r>
      <w:r>
        <w:rPr>
          <w:rFonts w:ascii="宋体" w:eastAsia="宋体" w:hAnsi="宋体" w:cs="宋体" w:hint="eastAsia"/>
        </w:rPr>
        <w:t>）</w:t>
      </w:r>
      <w:r>
        <w:t>NOAEL</w:t>
      </w:r>
      <w:r>
        <w:rPr>
          <w:rFonts w:ascii="宋体" w:eastAsia="宋体" w:hAnsi="宋体" w:cs="宋体" w:hint="eastAsia"/>
        </w:rPr>
        <w:t>高度依赖样本量；</w:t>
      </w:r>
      <w:r>
        <w:t xml:space="preserve"> </w:t>
      </w:r>
      <w:r>
        <w:rPr>
          <w:rFonts w:ascii="宋体" w:eastAsia="宋体" w:hAnsi="宋体" w:cs="宋体" w:hint="eastAsia"/>
        </w:rPr>
        <w:t>（</w:t>
      </w:r>
      <w:r>
        <w:t>4</w:t>
      </w:r>
      <w:r>
        <w:rPr>
          <w:rFonts w:ascii="宋体" w:eastAsia="宋体" w:hAnsi="宋体" w:cs="宋体" w:hint="eastAsia"/>
        </w:rPr>
        <w:t>）</w:t>
      </w:r>
      <w:r>
        <w:t>NOAEL</w:t>
      </w:r>
      <w:r>
        <w:rPr>
          <w:rFonts w:ascii="宋体" w:eastAsia="宋体" w:hAnsi="宋体" w:cs="宋体" w:hint="eastAsia"/>
        </w:rPr>
        <w:t>并非总是可用；</w:t>
      </w:r>
      <w:r>
        <w:t xml:space="preserve"> </w:t>
      </w:r>
      <w:r>
        <w:rPr>
          <w:rFonts w:ascii="宋体" w:eastAsia="宋体" w:hAnsi="宋体" w:cs="宋体" w:hint="eastAsia"/>
        </w:rPr>
        <w:t>（</w:t>
      </w:r>
      <w:r>
        <w:t>5</w:t>
      </w:r>
      <w:r>
        <w:rPr>
          <w:rFonts w:ascii="宋体" w:eastAsia="宋体" w:hAnsi="宋体" w:cs="宋体" w:hint="eastAsia"/>
        </w:rPr>
        <w:t>）它没有考虑剂量反应曲线或数据变异性，因此没有</w:t>
      </w:r>
      <w:r>
        <w:t>“</w:t>
      </w:r>
      <w:r>
        <w:rPr>
          <w:rFonts w:ascii="宋体" w:eastAsia="宋体" w:hAnsi="宋体" w:cs="宋体" w:hint="eastAsia"/>
        </w:rPr>
        <w:t>浪费</w:t>
      </w:r>
      <w:r>
        <w:t>”</w:t>
      </w:r>
      <w:r>
        <w:rPr>
          <w:rFonts w:ascii="宋体" w:eastAsia="宋体" w:hAnsi="宋体" w:cs="宋体" w:hint="eastAsia"/>
        </w:rPr>
        <w:t>数据（</w:t>
      </w:r>
      <w:r>
        <w:t>6</w:t>
      </w:r>
      <w:r>
        <w:rPr>
          <w:rFonts w:ascii="宋体" w:eastAsia="宋体" w:hAnsi="宋体" w:cs="宋体" w:hint="eastAsia"/>
        </w:rPr>
        <w:t>，</w:t>
      </w:r>
      <w:r>
        <w:t>42</w:t>
      </w:r>
      <w:r>
        <w:rPr>
          <w:rFonts w:ascii="宋体" w:eastAsia="宋体" w:hAnsi="宋体" w:cs="宋体" w:hint="eastAsia"/>
        </w:rPr>
        <w:t>）。在可行的情况下，基准剂量（</w:t>
      </w:r>
      <w:r>
        <w:t>BMD</w:t>
      </w:r>
      <w:r>
        <w:rPr>
          <w:rFonts w:ascii="宋体" w:eastAsia="宋体" w:hAnsi="宋体" w:cs="宋体" w:hint="eastAsia"/>
        </w:rPr>
        <w:t>）方法比传统的</w:t>
      </w:r>
      <w:r>
        <w:t>NOAEL / LOAEL</w:t>
      </w:r>
      <w:r>
        <w:rPr>
          <w:rFonts w:ascii="宋体" w:eastAsia="宋体" w:hAnsi="宋体" w:cs="宋体" w:hint="eastAsia"/>
        </w:rPr>
        <w:t>方法更可取，因为它可以纠正这些限制（</w:t>
      </w:r>
      <w:r>
        <w:t>4-6</w:t>
      </w:r>
      <w:r>
        <w:rPr>
          <w:rFonts w:ascii="宋体" w:eastAsia="宋体" w:hAnsi="宋体" w:cs="宋体" w:hint="eastAsia"/>
        </w:rPr>
        <w:t>、</w:t>
      </w:r>
      <w:r>
        <w:t>43-48</w:t>
      </w:r>
      <w:r>
        <w:rPr>
          <w:rFonts w:ascii="宋体" w:eastAsia="宋体" w:hAnsi="宋体" w:cs="宋体" w:hint="eastAsia"/>
        </w:rPr>
        <w:t>）。</w:t>
      </w:r>
      <w:r>
        <w:t xml:space="preserve"> BMDL</w:t>
      </w:r>
      <w:r>
        <w:rPr>
          <w:rFonts w:ascii="宋体" w:eastAsia="宋体" w:hAnsi="宋体" w:cs="宋体" w:hint="eastAsia"/>
        </w:rPr>
        <w:t>通常被认为等同于</w:t>
      </w:r>
      <w:r>
        <w:t>NOAEL</w:t>
      </w:r>
      <w:r>
        <w:rPr>
          <w:rFonts w:ascii="宋体" w:eastAsia="宋体" w:hAnsi="宋体" w:cs="宋体" w:hint="eastAsia"/>
        </w:rPr>
        <w:t>。</w:t>
      </w:r>
      <w:r>
        <w:t xml:space="preserve"> BMDL</w:t>
      </w:r>
      <w:r>
        <w:rPr>
          <w:rFonts w:ascii="宋体" w:eastAsia="宋体" w:hAnsi="宋体" w:cs="宋体" w:hint="eastAsia"/>
        </w:rPr>
        <w:t>取决于基准反应（</w:t>
      </w:r>
      <w:r>
        <w:t>BMR</w:t>
      </w:r>
      <w:r>
        <w:rPr>
          <w:rFonts w:ascii="宋体" w:eastAsia="宋体" w:hAnsi="宋体" w:cs="宋体" w:hint="eastAsia"/>
        </w:rPr>
        <w:t>），该基准反应基于研究的敏感性，在许多情况下，</w:t>
      </w:r>
      <w:r>
        <w:t>BMR</w:t>
      </w:r>
      <w:r>
        <w:rPr>
          <w:rFonts w:ascii="宋体" w:eastAsia="宋体" w:hAnsi="宋体" w:cs="宋体" w:hint="eastAsia"/>
        </w:rPr>
        <w:t>被认为比作用背景高出</w:t>
      </w:r>
      <w:r>
        <w:t>10</w:t>
      </w:r>
      <w:r>
        <w:rPr>
          <w:rFonts w:ascii="宋体" w:eastAsia="宋体" w:hAnsi="宋体" w:cs="宋体" w:hint="eastAsia"/>
        </w:rPr>
        <w:t>％。</w:t>
      </w:r>
      <w:r>
        <w:t xml:space="preserve"> BMD</w:t>
      </w:r>
      <w:r>
        <w:rPr>
          <w:rFonts w:ascii="宋体" w:eastAsia="宋体" w:hAnsi="宋体" w:cs="宋体" w:hint="eastAsia"/>
        </w:rPr>
        <w:t>的目标是使模型适合剂量反应数据，并且它是用于推导</w:t>
      </w:r>
      <w:r>
        <w:t>HBEL</w:t>
      </w:r>
      <w:r>
        <w:rPr>
          <w:rFonts w:ascii="宋体" w:eastAsia="宋体" w:hAnsi="宋体" w:cs="宋体" w:hint="eastAsia"/>
        </w:rPr>
        <w:t>的</w:t>
      </w:r>
      <w:r>
        <w:t>NOAEL</w:t>
      </w:r>
      <w:r>
        <w:rPr>
          <w:rFonts w:ascii="宋体" w:eastAsia="宋体" w:hAnsi="宋体" w:cs="宋体" w:hint="eastAsia"/>
        </w:rPr>
        <w:t>评估因子方法的可接受替代方案（</w:t>
      </w:r>
      <w:r>
        <w:t>42</w:t>
      </w:r>
      <w:r>
        <w:rPr>
          <w:rFonts w:ascii="宋体" w:eastAsia="宋体" w:hAnsi="宋体" w:cs="宋体" w:hint="eastAsia"/>
        </w:rPr>
        <w:t>，</w:t>
      </w:r>
      <w:r>
        <w:t>49</w:t>
      </w:r>
      <w:r>
        <w:rPr>
          <w:rFonts w:ascii="宋体" w:eastAsia="宋体" w:hAnsi="宋体" w:cs="宋体" w:hint="eastAsia"/>
        </w:rPr>
        <w:t>）。</w:t>
      </w:r>
    </w:p>
    <w:p w14:paraId="74F36536" w14:textId="02394DA6" w:rsidR="00873522" w:rsidRDefault="00873522" w:rsidP="00873522">
      <w:pPr>
        <w:numPr>
          <w:ilvl w:val="2"/>
          <w:numId w:val="5"/>
        </w:numPr>
        <w:spacing w:after="62"/>
        <w:ind w:left="142" w:firstLine="0"/>
      </w:pPr>
      <w:r w:rsidRPr="00544D6C">
        <w:rPr>
          <w:rFonts w:ascii="宋体" w:eastAsia="宋体" w:hAnsi="宋体" w:cs="宋体" w:hint="eastAsia"/>
          <w:highlight w:val="yellow"/>
        </w:rPr>
        <w:t>在</w:t>
      </w:r>
      <w:r w:rsidRPr="00544D6C">
        <w:rPr>
          <w:highlight w:val="yellow"/>
        </w:rPr>
        <w:t>HBEL</w:t>
      </w:r>
      <w:r w:rsidRPr="00544D6C">
        <w:rPr>
          <w:rFonts w:ascii="宋体" w:eastAsia="宋体" w:hAnsi="宋体" w:cs="宋体" w:hint="eastAsia"/>
          <w:highlight w:val="yellow"/>
        </w:rPr>
        <w:t>外推过程中应考虑药物的典型给药时间表。对于每天至少两次给药的</w:t>
      </w:r>
      <w:r w:rsidRPr="00544D6C">
        <w:rPr>
          <w:highlight w:val="yellow"/>
        </w:rPr>
        <w:t>API</w:t>
      </w:r>
      <w:r w:rsidRPr="00544D6C">
        <w:rPr>
          <w:rFonts w:ascii="宋体" w:eastAsia="宋体" w:hAnsi="宋体" w:cs="宋体" w:hint="eastAsia"/>
          <w:highlight w:val="yellow"/>
        </w:rPr>
        <w:t>，</w:t>
      </w:r>
      <w:r w:rsidRPr="00544D6C">
        <w:rPr>
          <w:highlight w:val="yellow"/>
        </w:rPr>
        <w:t>HBEL</w:t>
      </w:r>
      <w:r w:rsidRPr="00544D6C">
        <w:rPr>
          <w:rFonts w:ascii="宋体" w:eastAsia="宋体" w:hAnsi="宋体" w:cs="宋体" w:hint="eastAsia"/>
          <w:highlight w:val="yellow"/>
        </w:rPr>
        <w:t>表示为每日</w:t>
      </w:r>
      <w:proofErr w:type="gramStart"/>
      <w:r w:rsidRPr="00544D6C">
        <w:rPr>
          <w:rFonts w:ascii="宋体" w:eastAsia="宋体" w:hAnsi="宋体" w:cs="宋体" w:hint="eastAsia"/>
          <w:highlight w:val="yellow"/>
        </w:rPr>
        <w:t>总人类</w:t>
      </w:r>
      <w:proofErr w:type="gramEnd"/>
      <w:r w:rsidRPr="00544D6C">
        <w:rPr>
          <w:rFonts w:ascii="宋体" w:eastAsia="宋体" w:hAnsi="宋体" w:cs="宋体" w:hint="eastAsia"/>
          <w:highlight w:val="yellow"/>
        </w:rPr>
        <w:t>治疗剂量。但是，必须考虑单剂量可能对急性健康产生的影响</w:t>
      </w:r>
      <w:r>
        <w:rPr>
          <w:rFonts w:ascii="宋体" w:eastAsia="宋体" w:hAnsi="宋体" w:cs="宋体" w:hint="eastAsia"/>
        </w:rPr>
        <w:t>（</w:t>
      </w:r>
      <w:proofErr w:type="spellStart"/>
      <w:r>
        <w:t>Cmax</w:t>
      </w:r>
      <w:proofErr w:type="spellEnd"/>
      <w:proofErr w:type="gramStart"/>
      <w:r>
        <w:rPr>
          <w:rFonts w:ascii="宋体" w:eastAsia="宋体" w:hAnsi="宋体" w:cs="宋体" w:hint="eastAsia"/>
        </w:rPr>
        <w:t>介</w:t>
      </w:r>
      <w:proofErr w:type="gramEnd"/>
      <w:r>
        <w:rPr>
          <w:rFonts w:ascii="宋体" w:eastAsia="宋体" w:hAnsi="宋体" w:cs="宋体" w:hint="eastAsia"/>
        </w:rPr>
        <w:t>导的作用），因为单剂量可能具有临床相关的影响，而这种影响是至关重要的。对于以每天一次以上的给药间隔给药的</w:t>
      </w:r>
      <w:r>
        <w:t>API</w:t>
      </w:r>
      <w:r>
        <w:rPr>
          <w:rFonts w:ascii="宋体" w:eastAsia="宋体" w:hAnsi="宋体" w:cs="宋体" w:hint="eastAsia"/>
        </w:rPr>
        <w:t>（例如，常规给药时间表，</w:t>
      </w:r>
      <w:r w:rsidRPr="00544D6C">
        <w:rPr>
          <w:rFonts w:ascii="宋体" w:eastAsia="宋体" w:hAnsi="宋体" w:cs="宋体" w:hint="eastAsia"/>
          <w:highlight w:val="yellow"/>
        </w:rPr>
        <w:t>如生物药物和一些小分子通常见到的每周一次或每月一次），通常可以使用</w:t>
      </w:r>
      <w:proofErr w:type="spellStart"/>
      <w:r w:rsidRPr="00544D6C">
        <w:rPr>
          <w:highlight w:val="yellow"/>
        </w:rPr>
        <w:t>PoD</w:t>
      </w:r>
      <w:proofErr w:type="spellEnd"/>
      <w:r w:rsidRPr="00544D6C">
        <w:rPr>
          <w:rFonts w:ascii="宋体" w:eastAsia="宋体" w:hAnsi="宋体" w:cs="宋体" w:hint="eastAsia"/>
          <w:highlight w:val="yellow"/>
        </w:rPr>
        <w:t>作为按比例的日剂量（也就是说，单次剂量除以两次剂量之间的天数）</w:t>
      </w:r>
      <w:r>
        <w:rPr>
          <w:rFonts w:ascii="宋体" w:eastAsia="宋体" w:hAnsi="宋体" w:cs="宋体" w:hint="eastAsia"/>
        </w:rPr>
        <w:t>。对于不是常规地长期对单个患者给药的</w:t>
      </w:r>
      <w:r>
        <w:t>API</w:t>
      </w:r>
      <w:r>
        <w:rPr>
          <w:rFonts w:ascii="宋体" w:eastAsia="宋体" w:hAnsi="宋体" w:cs="宋体" w:hint="eastAsia"/>
        </w:rPr>
        <w:t>，而是临时性的（例如，疫苗接种，外科手术或某些医疗程序），应根据现有数据评估</w:t>
      </w:r>
      <w:proofErr w:type="spellStart"/>
      <w:r>
        <w:t>PoD</w:t>
      </w:r>
      <w:proofErr w:type="spellEnd"/>
      <w:r>
        <w:rPr>
          <w:rFonts w:ascii="宋体" w:eastAsia="宋体" w:hAnsi="宋体" w:cs="宋体" w:hint="eastAsia"/>
        </w:rPr>
        <w:t>，并适当合并</w:t>
      </w:r>
      <w:r>
        <w:t>AF</w:t>
      </w:r>
      <w:r>
        <w:rPr>
          <w:rFonts w:ascii="宋体" w:eastAsia="宋体" w:hAnsi="宋体" w:cs="宋体" w:hint="eastAsia"/>
        </w:rPr>
        <w:t>以反映潜在的长期暴露，以推导</w:t>
      </w:r>
      <w:r>
        <w:t>HBEL</w:t>
      </w:r>
      <w:r>
        <w:rPr>
          <w:rFonts w:ascii="宋体" w:eastAsia="宋体" w:hAnsi="宋体" w:cs="宋体" w:hint="eastAsia"/>
        </w:rPr>
        <w:t>。在这些情况下，或者在</w:t>
      </w:r>
      <w:r w:rsidRPr="00544D6C">
        <w:rPr>
          <w:rFonts w:ascii="宋体" w:eastAsia="宋体" w:hAnsi="宋体" w:cs="宋体" w:hint="eastAsia"/>
          <w:highlight w:val="yellow"/>
        </w:rPr>
        <w:t>给药</w:t>
      </w:r>
      <w:r w:rsidRPr="00544D6C">
        <w:rPr>
          <w:rFonts w:ascii="宋体" w:eastAsia="宋体" w:hAnsi="宋体" w:cs="宋体" w:hint="eastAsia"/>
          <w:highlight w:val="yellow"/>
        </w:rPr>
        <w:t>计划为间歇性或其他情况下，</w:t>
      </w:r>
      <w:proofErr w:type="spellStart"/>
      <w:r w:rsidRPr="00544D6C">
        <w:rPr>
          <w:highlight w:val="yellow"/>
        </w:rPr>
        <w:t>PoD</w:t>
      </w:r>
      <w:proofErr w:type="spellEnd"/>
      <w:r w:rsidRPr="00544D6C">
        <w:rPr>
          <w:rFonts w:ascii="宋体" w:eastAsia="宋体" w:hAnsi="宋体" w:cs="宋体" w:hint="eastAsia"/>
          <w:highlight w:val="yellow"/>
        </w:rPr>
        <w:t>并非处于稳定状态下的剂量，可以使用</w:t>
      </w:r>
      <w:r w:rsidRPr="00544D6C">
        <w:rPr>
          <w:highlight w:val="yellow"/>
        </w:rPr>
        <w:t>PK A​​F</w:t>
      </w:r>
      <w:r w:rsidRPr="00544D6C">
        <w:rPr>
          <w:rFonts w:ascii="宋体" w:eastAsia="宋体" w:hAnsi="宋体" w:cs="宋体" w:hint="eastAsia"/>
          <w:highlight w:val="yellow"/>
        </w:rPr>
        <w:t>代替每日平均剂量。在适用的情况下，也可以使用</w:t>
      </w:r>
      <w:r w:rsidRPr="00544D6C">
        <w:rPr>
          <w:highlight w:val="yellow"/>
        </w:rPr>
        <w:t>PK</w:t>
      </w:r>
      <w:r w:rsidRPr="00544D6C">
        <w:rPr>
          <w:rFonts w:ascii="宋体" w:eastAsia="宋体" w:hAnsi="宋体" w:cs="宋体" w:hint="eastAsia"/>
          <w:highlight w:val="yellow"/>
        </w:rPr>
        <w:t>或</w:t>
      </w:r>
      <w:r w:rsidRPr="00544D6C">
        <w:rPr>
          <w:highlight w:val="yellow"/>
        </w:rPr>
        <w:t>PD</w:t>
      </w:r>
      <w:r w:rsidRPr="00544D6C">
        <w:rPr>
          <w:rFonts w:ascii="宋体" w:eastAsia="宋体" w:hAnsi="宋体" w:cs="宋体" w:hint="eastAsia"/>
          <w:highlight w:val="yellow"/>
        </w:rPr>
        <w:t>告知可以用作</w:t>
      </w:r>
      <w:proofErr w:type="spellStart"/>
      <w:r w:rsidRPr="00544D6C">
        <w:rPr>
          <w:highlight w:val="yellow"/>
        </w:rPr>
        <w:t>PoD</w:t>
      </w:r>
      <w:proofErr w:type="spellEnd"/>
      <w:r w:rsidRPr="00544D6C">
        <w:rPr>
          <w:rFonts w:ascii="宋体" w:eastAsia="宋体" w:hAnsi="宋体" w:cs="宋体" w:hint="eastAsia"/>
          <w:highlight w:val="yellow"/>
        </w:rPr>
        <w:t>的每日剂量或药理无效剂量的推导</w:t>
      </w:r>
      <w:r>
        <w:rPr>
          <w:rFonts w:ascii="宋体" w:eastAsia="宋体" w:hAnsi="宋体" w:cs="宋体" w:hint="eastAsia"/>
        </w:rPr>
        <w:t>（</w:t>
      </w:r>
      <w:r>
        <w:t>18</w:t>
      </w:r>
      <w:r>
        <w:rPr>
          <w:rFonts w:ascii="宋体" w:eastAsia="宋体" w:hAnsi="宋体" w:cs="宋体" w:hint="eastAsia"/>
        </w:rPr>
        <w:t>，</w:t>
      </w:r>
      <w:r>
        <w:t>50</w:t>
      </w:r>
      <w:r>
        <w:rPr>
          <w:rFonts w:ascii="宋体" w:eastAsia="宋体" w:hAnsi="宋体" w:cs="宋体" w:hint="eastAsia"/>
        </w:rPr>
        <w:t>）。</w:t>
      </w:r>
    </w:p>
    <w:p w14:paraId="527F0F1D" w14:textId="720C9848" w:rsidR="0026097E" w:rsidRDefault="00873522" w:rsidP="00873522">
      <w:pPr>
        <w:numPr>
          <w:ilvl w:val="2"/>
          <w:numId w:val="5"/>
        </w:numPr>
        <w:spacing w:after="62"/>
        <w:ind w:left="142" w:firstLine="0"/>
      </w:pPr>
      <w:r>
        <w:rPr>
          <w:rFonts w:ascii="宋体" w:eastAsia="宋体" w:hAnsi="宋体" w:cs="宋体" w:hint="eastAsia"/>
        </w:rPr>
        <w:t>体重和其他剂量参数（例如，局部用药物的体表面积）可能会有所变化，</w:t>
      </w:r>
      <w:r w:rsidRPr="00544D6C">
        <w:rPr>
          <w:rFonts w:ascii="宋体" w:eastAsia="宋体" w:hAnsi="宋体" w:cs="宋体" w:hint="eastAsia"/>
          <w:highlight w:val="yellow"/>
        </w:rPr>
        <w:t>具体取决于为确定限值和监管权限而评估的接触途径。对于一般人群，使用的体重可以保守地设定为</w:t>
      </w:r>
      <w:r w:rsidRPr="00544D6C">
        <w:rPr>
          <w:highlight w:val="yellow"/>
        </w:rPr>
        <w:t>50</w:t>
      </w:r>
      <w:r w:rsidRPr="00544D6C">
        <w:rPr>
          <w:rFonts w:ascii="宋体" w:eastAsia="宋体" w:hAnsi="宋体" w:cs="宋体" w:hint="eastAsia"/>
          <w:highlight w:val="yellow"/>
        </w:rPr>
        <w:t>公斤的成年人</w:t>
      </w:r>
      <w:r>
        <w:rPr>
          <w:rFonts w:ascii="宋体" w:eastAsia="宋体" w:hAnsi="宋体" w:cs="宋体" w:hint="eastAsia"/>
        </w:rPr>
        <w:t>（</w:t>
      </w:r>
      <w:r>
        <w:t>14</w:t>
      </w:r>
      <w:r>
        <w:rPr>
          <w:rFonts w:ascii="宋体" w:eastAsia="宋体" w:hAnsi="宋体" w:cs="宋体" w:hint="eastAsia"/>
        </w:rPr>
        <w:t>、</w:t>
      </w:r>
      <w:r>
        <w:t>29</w:t>
      </w:r>
      <w:r>
        <w:rPr>
          <w:rFonts w:ascii="宋体" w:eastAsia="宋体" w:hAnsi="宋体" w:cs="宋体" w:hint="eastAsia"/>
        </w:rPr>
        <w:t>、</w:t>
      </w:r>
      <w:r>
        <w:t>51</w:t>
      </w:r>
      <w:r>
        <w:rPr>
          <w:rFonts w:ascii="宋体" w:eastAsia="宋体" w:hAnsi="宋体" w:cs="宋体" w:hint="eastAsia"/>
        </w:rPr>
        <w:t>、</w:t>
      </w:r>
      <w:r>
        <w:t>52</w:t>
      </w:r>
      <w:r>
        <w:rPr>
          <w:rFonts w:ascii="宋体" w:eastAsia="宋体" w:hAnsi="宋体" w:cs="宋体" w:hint="eastAsia"/>
        </w:rPr>
        <w:t>）。其他辖区可能对成年人和不同的儿科人群使用替代值（</w:t>
      </w:r>
      <w:r>
        <w:t>53-56</w:t>
      </w:r>
      <w:r>
        <w:rPr>
          <w:rFonts w:ascii="宋体" w:eastAsia="宋体" w:hAnsi="宋体" w:cs="宋体" w:hint="eastAsia"/>
        </w:rPr>
        <w:t>）。欧洲药品管理局（</w:t>
      </w:r>
      <w:r>
        <w:t>EMA</w:t>
      </w:r>
      <w:r>
        <w:rPr>
          <w:rFonts w:ascii="宋体" w:eastAsia="宋体" w:hAnsi="宋体" w:cs="宋体" w:hint="eastAsia"/>
        </w:rPr>
        <w:t>）表示：</w:t>
      </w:r>
      <w:r>
        <w:t>“</w:t>
      </w:r>
      <w:r>
        <w:rPr>
          <w:rFonts w:ascii="宋体" w:eastAsia="宋体" w:hAnsi="宋体" w:cs="宋体" w:hint="eastAsia"/>
        </w:rPr>
        <w:t>限值的推导需要考虑所要施用的剂量，这将受到所治疗物种的体重的影响</w:t>
      </w:r>
      <w:r>
        <w:t>”</w:t>
      </w:r>
      <w:r>
        <w:rPr>
          <w:rFonts w:ascii="宋体" w:eastAsia="宋体" w:hAnsi="宋体" w:cs="宋体" w:hint="eastAsia"/>
        </w:rPr>
        <w:t>（</w:t>
      </w:r>
      <w:r>
        <w:t>14</w:t>
      </w:r>
      <w:r>
        <w:rPr>
          <w:rFonts w:ascii="宋体" w:eastAsia="宋体" w:hAnsi="宋体" w:cs="宋体" w:hint="eastAsia"/>
        </w:rPr>
        <w:t>）。如果评估其他人群或接触途径（例如婴儿），请咨询适当的参考文献（</w:t>
      </w:r>
      <w:r>
        <w:t>53-56</w:t>
      </w:r>
      <w:r>
        <w:rPr>
          <w:rFonts w:ascii="宋体" w:eastAsia="宋体" w:hAnsi="宋体" w:cs="宋体" w:hint="eastAsia"/>
        </w:rPr>
        <w:t>）。</w:t>
      </w:r>
      <w:r>
        <w:t xml:space="preserve"> EMA</w:t>
      </w:r>
      <w:r>
        <w:rPr>
          <w:rFonts w:ascii="宋体" w:eastAsia="宋体" w:hAnsi="宋体" w:cs="宋体" w:hint="eastAsia"/>
        </w:rPr>
        <w:t>在一份文件草案中建议考虑三个儿科人群的体重值：</w:t>
      </w:r>
      <w:r w:rsidRPr="00544D6C">
        <w:rPr>
          <w:rFonts w:ascii="宋体" w:eastAsia="宋体" w:hAnsi="宋体" w:cs="宋体" w:hint="eastAsia"/>
          <w:highlight w:val="yellow"/>
        </w:rPr>
        <w:t>早产新生儿</w:t>
      </w:r>
      <w:r w:rsidRPr="00544D6C">
        <w:rPr>
          <w:highlight w:val="yellow"/>
        </w:rPr>
        <w:t>0.5</w:t>
      </w:r>
      <w:r w:rsidRPr="00544D6C">
        <w:rPr>
          <w:rFonts w:ascii="宋体" w:eastAsia="宋体" w:hAnsi="宋体" w:cs="宋体" w:hint="eastAsia"/>
          <w:highlight w:val="yellow"/>
        </w:rPr>
        <w:t>千克，新生儿</w:t>
      </w:r>
      <w:r w:rsidRPr="00544D6C">
        <w:rPr>
          <w:highlight w:val="yellow"/>
        </w:rPr>
        <w:t>3.5</w:t>
      </w:r>
      <w:r w:rsidRPr="00544D6C">
        <w:rPr>
          <w:rFonts w:ascii="宋体" w:eastAsia="宋体" w:hAnsi="宋体" w:cs="宋体" w:hint="eastAsia"/>
          <w:highlight w:val="yellow"/>
        </w:rPr>
        <w:t>千克和儿童</w:t>
      </w:r>
      <w:r w:rsidRPr="00544D6C">
        <w:rPr>
          <w:highlight w:val="yellow"/>
        </w:rPr>
        <w:t>10</w:t>
      </w:r>
      <w:r w:rsidRPr="00544D6C">
        <w:rPr>
          <w:rFonts w:ascii="宋体" w:eastAsia="宋体" w:hAnsi="宋体" w:cs="宋体" w:hint="eastAsia"/>
          <w:highlight w:val="yellow"/>
        </w:rPr>
        <w:t>千克</w:t>
      </w:r>
      <w:r w:rsidR="00284695">
        <w:t xml:space="preserve"> </w:t>
      </w:r>
      <w:r w:rsidR="00284695">
        <w:rPr>
          <w:b/>
        </w:rPr>
        <w:t>(</w:t>
      </w:r>
      <w:r w:rsidR="00284695">
        <w:rPr>
          <w:b/>
          <w:color w:val="C1151A"/>
        </w:rPr>
        <w:t>57</w:t>
      </w:r>
      <w:r w:rsidR="00284695">
        <w:rPr>
          <w:b/>
        </w:rPr>
        <w:t>)</w:t>
      </w:r>
      <w:r w:rsidR="00284695">
        <w:t>.</w:t>
      </w:r>
    </w:p>
    <w:p w14:paraId="2369BC2E" w14:textId="12F0CBD7" w:rsidR="00873522" w:rsidRDefault="00873522" w:rsidP="00873522">
      <w:pPr>
        <w:numPr>
          <w:ilvl w:val="2"/>
          <w:numId w:val="5"/>
        </w:numPr>
        <w:spacing w:after="94"/>
        <w:ind w:left="142" w:firstLine="0"/>
      </w:pPr>
      <w:r>
        <w:rPr>
          <w:rFonts w:ascii="宋体" w:eastAsia="宋体" w:hAnsi="宋体" w:cs="宋体" w:hint="eastAsia"/>
        </w:rPr>
        <w:t>关于身体表面积，</w:t>
      </w:r>
      <w:r>
        <w:t>E</w:t>
      </w:r>
      <w:r w:rsidR="00544D6C">
        <w:t>M</w:t>
      </w:r>
      <w:r>
        <w:t>A</w:t>
      </w:r>
      <w:r>
        <w:rPr>
          <w:rFonts w:ascii="宋体" w:eastAsia="宋体" w:hAnsi="宋体" w:cs="宋体" w:hint="eastAsia"/>
        </w:rPr>
        <w:t>指南提供了儿童和成人身体总表面积的平均值和第</w:t>
      </w:r>
      <w:r>
        <w:t>95</w:t>
      </w:r>
      <w:r>
        <w:rPr>
          <w:rFonts w:ascii="宋体" w:eastAsia="宋体" w:hAnsi="宋体" w:cs="宋体" w:hint="eastAsia"/>
        </w:rPr>
        <w:t>个百分位数（（</w:t>
      </w:r>
      <w:r>
        <w:t>56</w:t>
      </w:r>
      <w:r>
        <w:rPr>
          <w:rFonts w:ascii="宋体" w:eastAsia="宋体" w:hAnsi="宋体" w:cs="宋体" w:hint="eastAsia"/>
        </w:rPr>
        <w:t>），表</w:t>
      </w:r>
      <w:r>
        <w:t>7.1</w:t>
      </w:r>
      <w:r>
        <w:rPr>
          <w:rFonts w:ascii="宋体" w:eastAsia="宋体" w:hAnsi="宋体" w:cs="宋体" w:hint="eastAsia"/>
        </w:rPr>
        <w:t>）。</w:t>
      </w:r>
      <w:r>
        <w:t xml:space="preserve"> </w:t>
      </w:r>
      <w:r>
        <w:rPr>
          <w:rFonts w:ascii="宋体" w:eastAsia="宋体" w:hAnsi="宋体" w:cs="宋体" w:hint="eastAsia"/>
        </w:rPr>
        <w:t>对于成年人，平均总体表面积约为</w:t>
      </w:r>
      <w:r>
        <w:t>2</w:t>
      </w:r>
      <w:r>
        <w:rPr>
          <w:rFonts w:ascii="宋体" w:eastAsia="宋体" w:hAnsi="宋体" w:cs="宋体" w:hint="eastAsia"/>
        </w:rPr>
        <w:t>平方米（</w:t>
      </w:r>
      <w:r>
        <w:t>20000</w:t>
      </w:r>
      <w:r>
        <w:rPr>
          <w:rFonts w:ascii="宋体" w:eastAsia="宋体" w:hAnsi="宋体" w:cs="宋体" w:hint="eastAsia"/>
        </w:rPr>
        <w:t>平方厘米）。</w:t>
      </w:r>
      <w:r>
        <w:t xml:space="preserve"> FDA</w:t>
      </w:r>
      <w:r>
        <w:rPr>
          <w:rFonts w:ascii="宋体" w:eastAsia="宋体" w:hAnsi="宋体" w:cs="宋体" w:hint="eastAsia"/>
        </w:rPr>
        <w:t>假设</w:t>
      </w:r>
      <w:r>
        <w:t>60 kg</w:t>
      </w:r>
      <w:r>
        <w:rPr>
          <w:rFonts w:ascii="宋体" w:eastAsia="宋体" w:hAnsi="宋体" w:cs="宋体" w:hint="eastAsia"/>
        </w:rPr>
        <w:t>的成年人的体表面积为</w:t>
      </w:r>
      <w:r>
        <w:t>1.62 m2</w:t>
      </w:r>
      <w:r>
        <w:rPr>
          <w:rFonts w:ascii="宋体" w:eastAsia="宋体" w:hAnsi="宋体" w:cs="宋体" w:hint="eastAsia"/>
        </w:rPr>
        <w:t>，因此，对于</w:t>
      </w:r>
      <w:r>
        <w:t>50 kg</w:t>
      </w:r>
      <w:r>
        <w:rPr>
          <w:rFonts w:ascii="宋体" w:eastAsia="宋体" w:hAnsi="宋体" w:cs="宋体" w:hint="eastAsia"/>
        </w:rPr>
        <w:t>的成年人，体表面积为</w:t>
      </w:r>
      <w:r>
        <w:t>1.35 m2</w:t>
      </w:r>
      <w:r>
        <w:rPr>
          <w:rFonts w:ascii="宋体" w:eastAsia="宋体" w:hAnsi="宋体" w:cs="宋体" w:hint="eastAsia"/>
        </w:rPr>
        <w:t>（</w:t>
      </w:r>
      <w:r>
        <w:t>58</w:t>
      </w:r>
      <w:r>
        <w:rPr>
          <w:rFonts w:ascii="宋体" w:eastAsia="宋体" w:hAnsi="宋体" w:cs="宋体" w:hint="eastAsia"/>
        </w:rPr>
        <w:t>）。</w:t>
      </w:r>
    </w:p>
    <w:p w14:paraId="42236AFB" w14:textId="3AC8B526" w:rsidR="0026097E" w:rsidRDefault="00873522" w:rsidP="00873522">
      <w:pPr>
        <w:numPr>
          <w:ilvl w:val="2"/>
          <w:numId w:val="5"/>
        </w:numPr>
        <w:spacing w:after="94"/>
        <w:ind w:left="142" w:firstLine="0"/>
      </w:pPr>
      <w:r>
        <w:rPr>
          <w:rFonts w:ascii="宋体" w:eastAsia="宋体" w:hAnsi="宋体" w:cs="宋体" w:hint="eastAsia"/>
        </w:rPr>
        <w:t>对于某些蛋白质治疗剂，可提供</w:t>
      </w:r>
      <w:proofErr w:type="gramStart"/>
      <w:r>
        <w:rPr>
          <w:rFonts w:ascii="宋体" w:eastAsia="宋体" w:hAnsi="宋体" w:cs="宋体" w:hint="eastAsia"/>
        </w:rPr>
        <w:t>首次人</w:t>
      </w:r>
      <w:proofErr w:type="gramEnd"/>
      <w:r>
        <w:rPr>
          <w:rFonts w:ascii="宋体" w:eastAsia="宋体" w:hAnsi="宋体" w:cs="宋体" w:hint="eastAsia"/>
        </w:rPr>
        <w:t>用（</w:t>
      </w:r>
      <w:r>
        <w:t>FIH</w:t>
      </w:r>
      <w:r>
        <w:rPr>
          <w:rFonts w:ascii="宋体" w:eastAsia="宋体" w:hAnsi="宋体" w:cs="宋体" w:hint="eastAsia"/>
        </w:rPr>
        <w:t>）剂量选择的指导，该剂量表示预期没有临床作用的剂量（</w:t>
      </w:r>
      <w:r>
        <w:t>59-61</w:t>
      </w:r>
      <w:r>
        <w:rPr>
          <w:rFonts w:ascii="宋体" w:eastAsia="宋体" w:hAnsi="宋体" w:cs="宋体" w:hint="eastAsia"/>
        </w:rPr>
        <w:t>）。</w:t>
      </w:r>
      <w:r>
        <w:t xml:space="preserve"> </w:t>
      </w:r>
      <w:r>
        <w:rPr>
          <w:rFonts w:ascii="宋体" w:eastAsia="宋体" w:hAnsi="宋体" w:cs="宋体" w:hint="eastAsia"/>
        </w:rPr>
        <w:t>这包括根据</w:t>
      </w:r>
      <w:r>
        <w:t>PK / PD</w:t>
      </w:r>
      <w:r>
        <w:rPr>
          <w:rFonts w:ascii="宋体" w:eastAsia="宋体" w:hAnsi="宋体" w:cs="宋体" w:hint="eastAsia"/>
        </w:rPr>
        <w:t>模型估算最小预期生物效应水平（</w:t>
      </w:r>
      <w:r>
        <w:t>MABEL</w:t>
      </w:r>
      <w:r>
        <w:rPr>
          <w:rFonts w:ascii="宋体" w:eastAsia="宋体" w:hAnsi="宋体" w:cs="宋体" w:hint="eastAsia"/>
        </w:rPr>
        <w:t>）。</w:t>
      </w:r>
      <w:r>
        <w:t xml:space="preserve"> FIH</w:t>
      </w:r>
      <w:r>
        <w:rPr>
          <w:rFonts w:ascii="宋体" w:eastAsia="宋体" w:hAnsi="宋体" w:cs="宋体" w:hint="eastAsia"/>
        </w:rPr>
        <w:t>剂量可作为替代</w:t>
      </w:r>
      <w:proofErr w:type="spellStart"/>
      <w:r>
        <w:t>PoD</w:t>
      </w:r>
      <w:proofErr w:type="spellEnd"/>
      <w:r>
        <w:rPr>
          <w:rFonts w:ascii="宋体" w:eastAsia="宋体" w:hAnsi="宋体" w:cs="宋体" w:hint="eastAsia"/>
        </w:rPr>
        <w:t>，等待收集临床数据</w:t>
      </w:r>
      <w:r w:rsidR="00284695">
        <w:t>.</w:t>
      </w:r>
    </w:p>
    <w:p w14:paraId="63CBE5D7" w14:textId="4F687479" w:rsidR="0026097E" w:rsidRDefault="00284695">
      <w:pPr>
        <w:spacing w:after="20" w:line="248" w:lineRule="auto"/>
        <w:ind w:left="185" w:hanging="10"/>
      </w:pPr>
      <w:r>
        <w:t xml:space="preserve">5.7 </w:t>
      </w:r>
      <w:r w:rsidRPr="005F06FF">
        <w:rPr>
          <w:iCs/>
        </w:rPr>
        <w:t>AF</w:t>
      </w:r>
      <w:r w:rsidR="00873522" w:rsidRPr="005F06FF">
        <w:rPr>
          <w:rFonts w:ascii="宋体" w:eastAsia="宋体" w:hAnsi="宋体" w:cs="宋体" w:hint="eastAsia"/>
          <w:iCs/>
        </w:rPr>
        <w:t>的应用</w:t>
      </w:r>
      <w:r w:rsidRPr="005F06FF">
        <w:rPr>
          <w:iCs/>
        </w:rPr>
        <w:t>:</w:t>
      </w:r>
    </w:p>
    <w:p w14:paraId="203D4DF6" w14:textId="23DF7A6D" w:rsidR="0026097E" w:rsidRDefault="00873522" w:rsidP="00E31B75">
      <w:pPr>
        <w:numPr>
          <w:ilvl w:val="2"/>
          <w:numId w:val="3"/>
        </w:numPr>
        <w:ind w:left="142"/>
      </w:pPr>
      <w:r w:rsidRPr="00873522">
        <w:rPr>
          <w:rFonts w:ascii="宋体" w:eastAsia="宋体" w:hAnsi="宋体" w:cs="宋体" w:hint="eastAsia"/>
        </w:rPr>
        <w:t>应用</w:t>
      </w:r>
      <w:r w:rsidRPr="00873522">
        <w:t>AF</w:t>
      </w:r>
      <w:r w:rsidRPr="00873522">
        <w:rPr>
          <w:rFonts w:ascii="宋体" w:eastAsia="宋体" w:hAnsi="宋体" w:cs="宋体" w:hint="eastAsia"/>
        </w:rPr>
        <w:t>的目的是与在</w:t>
      </w:r>
      <w:r w:rsidRPr="00873522">
        <w:t>HBEL</w:t>
      </w:r>
      <w:r w:rsidRPr="00873522">
        <w:rPr>
          <w:rFonts w:ascii="宋体" w:eastAsia="宋体" w:hAnsi="宋体" w:cs="宋体" w:hint="eastAsia"/>
        </w:rPr>
        <w:t>评估目标人群中可能发生的影响相比，对在关键研究中测量的各种参数的不确定性和可变性进行调整。</w:t>
      </w:r>
      <w:r w:rsidRPr="00873522">
        <w:t xml:space="preserve"> </w:t>
      </w:r>
      <w:r w:rsidRPr="00873522">
        <w:rPr>
          <w:rFonts w:ascii="宋体" w:eastAsia="宋体" w:hAnsi="宋体" w:cs="宋体" w:hint="eastAsia"/>
        </w:rPr>
        <w:t>同义词包括评估因素，不确定因素，安全因素和修改因素</w:t>
      </w:r>
      <w:r w:rsidRPr="00873522">
        <w:t>[ICH Q3C</w:t>
      </w:r>
      <w:r w:rsidRPr="00873522">
        <w:rPr>
          <w:rFonts w:ascii="宋体" w:eastAsia="宋体" w:hAnsi="宋体" w:cs="宋体" w:hint="eastAsia"/>
        </w:rPr>
        <w:t>（</w:t>
      </w:r>
      <w:r w:rsidRPr="00873522">
        <w:t>R6</w:t>
      </w:r>
      <w:r w:rsidRPr="00873522">
        <w:rPr>
          <w:rFonts w:ascii="宋体" w:eastAsia="宋体" w:hAnsi="宋体" w:cs="宋体" w:hint="eastAsia"/>
        </w:rPr>
        <w:t>）</w:t>
      </w:r>
      <w:r w:rsidRPr="00873522">
        <w:t>]</w:t>
      </w:r>
      <w:r w:rsidRPr="00873522">
        <w:rPr>
          <w:rFonts w:ascii="宋体" w:eastAsia="宋体" w:hAnsi="宋体" w:cs="宋体" w:hint="eastAsia"/>
        </w:rPr>
        <w:t>（</w:t>
      </w:r>
      <w:r w:rsidRPr="00873522">
        <w:t>14</w:t>
      </w:r>
      <w:r w:rsidRPr="00873522">
        <w:rPr>
          <w:rFonts w:ascii="宋体" w:eastAsia="宋体" w:hAnsi="宋体" w:cs="宋体" w:hint="eastAsia"/>
        </w:rPr>
        <w:t>，</w:t>
      </w:r>
      <w:r w:rsidRPr="00873522">
        <w:t>62</w:t>
      </w:r>
      <w:r w:rsidRPr="00873522">
        <w:rPr>
          <w:rFonts w:ascii="宋体" w:eastAsia="宋体" w:hAnsi="宋体" w:cs="宋体" w:hint="eastAsia"/>
        </w:rPr>
        <w:t>）。</w:t>
      </w:r>
      <w:r w:rsidRPr="00873522">
        <w:t xml:space="preserve"> 6.1</w:t>
      </w:r>
      <w:r w:rsidRPr="00873522">
        <w:rPr>
          <w:rFonts w:ascii="宋体" w:eastAsia="宋体" w:hAnsi="宋体" w:cs="宋体" w:hint="eastAsia"/>
        </w:rPr>
        <w:t>中的公式</w:t>
      </w:r>
      <w:r w:rsidRPr="00873522">
        <w:t>11</w:t>
      </w:r>
      <w:r w:rsidRPr="00873522">
        <w:rPr>
          <w:rFonts w:ascii="宋体" w:eastAsia="宋体" w:hAnsi="宋体" w:cs="宋体" w:hint="eastAsia"/>
        </w:rPr>
        <w:t>提供了确定</w:t>
      </w:r>
      <w:r w:rsidRPr="00873522">
        <w:t>HBEL</w:t>
      </w:r>
      <w:r w:rsidRPr="00873522">
        <w:rPr>
          <w:rFonts w:ascii="宋体" w:eastAsia="宋体" w:hAnsi="宋体" w:cs="宋体" w:hint="eastAsia"/>
        </w:rPr>
        <w:t>的基本公式</w:t>
      </w:r>
      <w:r w:rsidR="00284695">
        <w:t>.</w:t>
      </w:r>
    </w:p>
    <w:p w14:paraId="792C7FF3" w14:textId="77777777" w:rsidR="00873522" w:rsidRDefault="00873522" w:rsidP="00873522">
      <w:pPr>
        <w:numPr>
          <w:ilvl w:val="2"/>
          <w:numId w:val="3"/>
        </w:numPr>
        <w:ind w:left="0" w:firstLine="142"/>
      </w:pPr>
      <w:r w:rsidRPr="00544D6C">
        <w:rPr>
          <w:highlight w:val="yellow"/>
        </w:rPr>
        <w:t>AF</w:t>
      </w:r>
      <w:r w:rsidRPr="00544D6C">
        <w:rPr>
          <w:rFonts w:ascii="宋体" w:eastAsia="宋体" w:hAnsi="宋体" w:cs="宋体" w:hint="eastAsia"/>
          <w:highlight w:val="yellow"/>
        </w:rPr>
        <w:t>的使用不应是强制性的或限制性的，而应在对可用数据集进行科学评估之后，考虑到不同物质可能的逐案具体情况</w:t>
      </w:r>
      <w:r>
        <w:rPr>
          <w:rFonts w:ascii="宋体" w:eastAsia="宋体" w:hAnsi="宋体" w:cs="宋体" w:hint="eastAsia"/>
        </w:rPr>
        <w:t>。重要的是，以整体方式评估数据库，以确定与总体评估相关的优缺点。每个物质和数据库都提出了一组独特的问题，应该对其进行认真和周密的评估（</w:t>
      </w:r>
      <w:r>
        <w:t>41</w:t>
      </w:r>
      <w:r>
        <w:rPr>
          <w:rFonts w:ascii="宋体" w:eastAsia="宋体" w:hAnsi="宋体" w:cs="宋体" w:hint="eastAsia"/>
        </w:rPr>
        <w:t>）。考虑到数据的不确定性和可靠性，必须考虑与数据有关的所有因素。</w:t>
      </w:r>
    </w:p>
    <w:p w14:paraId="3B357461" w14:textId="51CEA043" w:rsidR="00873522" w:rsidRDefault="00873522" w:rsidP="00873522">
      <w:pPr>
        <w:numPr>
          <w:ilvl w:val="2"/>
          <w:numId w:val="3"/>
        </w:numPr>
        <w:ind w:left="0" w:firstLine="142"/>
      </w:pPr>
      <w:r>
        <w:t>AF</w:t>
      </w:r>
      <w:r>
        <w:rPr>
          <w:rFonts w:ascii="宋体" w:eastAsia="宋体" w:hAnsi="宋体" w:cs="宋体" w:hint="eastAsia"/>
        </w:rPr>
        <w:t>可以解决各种不确定性，从而可以推断出人类中可靠而强大的</w:t>
      </w:r>
      <w:r>
        <w:t>NOAEL</w:t>
      </w:r>
      <w:r>
        <w:rPr>
          <w:rFonts w:ascii="宋体" w:eastAsia="宋体" w:hAnsi="宋体" w:cs="宋体" w:hint="eastAsia"/>
        </w:rPr>
        <w:t>（</w:t>
      </w:r>
      <w:r>
        <w:t>14</w:t>
      </w:r>
      <w:r>
        <w:rPr>
          <w:rFonts w:ascii="宋体" w:eastAsia="宋体" w:hAnsi="宋体" w:cs="宋体" w:hint="eastAsia"/>
        </w:rPr>
        <w:t>）。</w:t>
      </w:r>
      <w:r>
        <w:t xml:space="preserve"> </w:t>
      </w:r>
      <w:proofErr w:type="spellStart"/>
      <w:r>
        <w:t>PoD</w:t>
      </w:r>
      <w:proofErr w:type="spellEnd"/>
      <w:r>
        <w:rPr>
          <w:rFonts w:ascii="宋体" w:eastAsia="宋体" w:hAnsi="宋体" w:cs="宋体" w:hint="eastAsia"/>
        </w:rPr>
        <w:t>的不确定性来自以下方面：当研究不是在与目标种群相同的物种中进行的（即大鼠与人类），则该研究无法涵盖人类种群的变异性；没有可用的</w:t>
      </w:r>
      <w:r>
        <w:t>NO</w:t>
      </w:r>
      <w:r>
        <w:rPr>
          <w:rFonts w:ascii="宋体" w:eastAsia="宋体" w:hAnsi="宋体" w:cs="宋体" w:hint="eastAsia"/>
        </w:rPr>
        <w:t>（</w:t>
      </w:r>
      <w:r>
        <w:t>A</w:t>
      </w:r>
      <w:r>
        <w:rPr>
          <w:rFonts w:ascii="宋体" w:eastAsia="宋体" w:hAnsi="宋体" w:cs="宋体" w:hint="eastAsia"/>
        </w:rPr>
        <w:t>）</w:t>
      </w:r>
      <w:r>
        <w:t>EL</w:t>
      </w:r>
      <w:r>
        <w:rPr>
          <w:rFonts w:ascii="宋体" w:eastAsia="宋体" w:hAnsi="宋体" w:cs="宋体" w:hint="eastAsia"/>
        </w:rPr>
        <w:t>；没有研究所有相关的影响；仅短期研究可用；在较低的研究剂量下观察到严重的影响；由于暴露途径的不同，预计生物利用度会有所不同；或存在其他类型的不确定性。</w:t>
      </w:r>
    </w:p>
    <w:p w14:paraId="3DF4A822" w14:textId="3480F1F2" w:rsidR="0026097E" w:rsidRPr="00544D6C" w:rsidRDefault="00873522" w:rsidP="00873522">
      <w:pPr>
        <w:numPr>
          <w:ilvl w:val="2"/>
          <w:numId w:val="3"/>
        </w:numPr>
        <w:ind w:left="0" w:firstLine="142"/>
        <w:rPr>
          <w:rFonts w:ascii="宋体" w:eastAsia="宋体" w:hAnsi="宋体"/>
        </w:rPr>
      </w:pPr>
      <w:r w:rsidRPr="00544D6C">
        <w:rPr>
          <w:rFonts w:ascii="宋体" w:eastAsia="宋体" w:hAnsi="宋体" w:cs="宋体" w:hint="eastAsia"/>
        </w:rPr>
        <w:lastRenderedPageBreak/>
        <w:t>除化合物特定的调节因子（</w:t>
      </w:r>
      <w:r w:rsidRPr="00544D6C">
        <w:rPr>
          <w:rFonts w:ascii="宋体" w:eastAsia="宋体" w:hAnsi="宋体"/>
        </w:rPr>
        <w:t>CSAF</w:t>
      </w:r>
      <w:r w:rsidRPr="00544D6C">
        <w:rPr>
          <w:rFonts w:ascii="宋体" w:eastAsia="宋体" w:hAnsi="宋体" w:cs="宋体" w:hint="eastAsia"/>
        </w:rPr>
        <w:t>）外，</w:t>
      </w:r>
      <w:r w:rsidRPr="00544D6C">
        <w:rPr>
          <w:rFonts w:ascii="宋体" w:eastAsia="宋体" w:hAnsi="宋体"/>
        </w:rPr>
        <w:t>AF</w:t>
      </w:r>
      <w:r w:rsidRPr="00544D6C">
        <w:rPr>
          <w:rFonts w:ascii="宋体" w:eastAsia="宋体" w:hAnsi="宋体" w:cs="宋体" w:hint="eastAsia"/>
        </w:rPr>
        <w:t>不应被视为不确定性的绝对值，而应视为对这些不确定性的估计。根据数据的变异程度，通常从</w:t>
      </w:r>
      <w:r w:rsidRPr="00544D6C">
        <w:rPr>
          <w:rFonts w:ascii="宋体" w:eastAsia="宋体" w:hAnsi="宋体"/>
        </w:rPr>
        <w:t>1-10</w:t>
      </w:r>
      <w:r w:rsidRPr="00544D6C">
        <w:rPr>
          <w:rFonts w:ascii="宋体" w:eastAsia="宋体" w:hAnsi="宋体" w:cs="宋体" w:hint="eastAsia"/>
        </w:rPr>
        <w:t>的范围中选择一个值，并且由于人口中</w:t>
      </w:r>
      <w:r w:rsidRPr="00544D6C">
        <w:rPr>
          <w:rFonts w:ascii="宋体" w:eastAsia="宋体" w:hAnsi="宋体"/>
        </w:rPr>
        <w:t>PK</w:t>
      </w:r>
      <w:r w:rsidRPr="00544D6C">
        <w:rPr>
          <w:rFonts w:ascii="宋体" w:eastAsia="宋体" w:hAnsi="宋体" w:cs="宋体" w:hint="eastAsia"/>
        </w:rPr>
        <w:t>和</w:t>
      </w:r>
      <w:r w:rsidRPr="00544D6C">
        <w:rPr>
          <w:rFonts w:ascii="宋体" w:eastAsia="宋体" w:hAnsi="宋体"/>
        </w:rPr>
        <w:t>PD</w:t>
      </w:r>
      <w:r w:rsidRPr="00544D6C">
        <w:rPr>
          <w:rFonts w:ascii="宋体" w:eastAsia="宋体" w:hAnsi="宋体" w:cs="宋体" w:hint="eastAsia"/>
        </w:rPr>
        <w:t>的变异性大于预期，数据驱动的</w:t>
      </w:r>
      <w:r w:rsidRPr="00544D6C">
        <w:rPr>
          <w:rFonts w:ascii="宋体" w:eastAsia="宋体" w:hAnsi="宋体"/>
        </w:rPr>
        <w:t>CSAF</w:t>
      </w:r>
      <w:r w:rsidRPr="00544D6C">
        <w:rPr>
          <w:rFonts w:ascii="宋体" w:eastAsia="宋体" w:hAnsi="宋体" w:cs="宋体" w:hint="eastAsia"/>
        </w:rPr>
        <w:t>值可能会超过</w:t>
      </w:r>
      <w:r w:rsidRPr="00544D6C">
        <w:rPr>
          <w:rFonts w:ascii="宋体" w:eastAsia="宋体" w:hAnsi="宋体"/>
        </w:rPr>
        <w:t>10</w:t>
      </w:r>
      <w:r w:rsidRPr="00544D6C">
        <w:rPr>
          <w:rFonts w:ascii="宋体" w:eastAsia="宋体" w:hAnsi="宋体" w:cs="宋体" w:hint="eastAsia"/>
        </w:rPr>
        <w:t>。应进行专业的科学判断，并在可能的情况下，对可用数据进行同行评审，以在选择每种房颤时达成共识。应注意不要在两个因素中针对相同的不确定性进行调整。为了选择以下</w:t>
      </w:r>
      <w:r w:rsidRPr="00544D6C">
        <w:rPr>
          <w:rFonts w:ascii="宋体" w:eastAsia="宋体" w:hAnsi="宋体"/>
        </w:rPr>
        <w:t>AF</w:t>
      </w:r>
      <w:r w:rsidRPr="00544D6C">
        <w:rPr>
          <w:rFonts w:ascii="宋体" w:eastAsia="宋体" w:hAnsi="宋体" w:cs="宋体" w:hint="eastAsia"/>
        </w:rPr>
        <w:t>，应详细提供理由并为每次计算辩护</w:t>
      </w:r>
      <w:r w:rsidR="00284695" w:rsidRPr="00544D6C">
        <w:rPr>
          <w:rFonts w:ascii="宋体" w:eastAsia="宋体" w:hAnsi="宋体"/>
        </w:rPr>
        <w:t>.</w:t>
      </w:r>
    </w:p>
    <w:p w14:paraId="5766C953" w14:textId="4EDCC741" w:rsidR="00873522" w:rsidRPr="00544D6C" w:rsidRDefault="00873522" w:rsidP="00873522">
      <w:pPr>
        <w:numPr>
          <w:ilvl w:val="2"/>
          <w:numId w:val="3"/>
        </w:numPr>
        <w:spacing w:after="104"/>
        <w:ind w:left="0" w:firstLine="142"/>
        <w:rPr>
          <w:rFonts w:ascii="宋体" w:eastAsia="宋体" w:hAnsi="宋体"/>
        </w:rPr>
      </w:pPr>
      <w:r w:rsidRPr="00544D6C">
        <w:rPr>
          <w:rFonts w:ascii="宋体" w:eastAsia="宋体" w:hAnsi="宋体" w:cs="宋体" w:hint="eastAsia"/>
        </w:rPr>
        <w:t>定量风险评估中通常涉及的可变性，不确定性和其他调整的来源包括但不限于表中的列表</w:t>
      </w:r>
      <w:r w:rsidRPr="00544D6C">
        <w:rPr>
          <w:rFonts w:ascii="宋体" w:eastAsia="宋体" w:hAnsi="宋体"/>
        </w:rPr>
        <w:t>1</w:t>
      </w:r>
      <w:r w:rsidRPr="00544D6C">
        <w:rPr>
          <w:rFonts w:ascii="宋体" w:eastAsia="宋体" w:hAnsi="宋体" w:cs="宋体" w:hint="eastAsia"/>
        </w:rPr>
        <w:t>。</w:t>
      </w:r>
    </w:p>
    <w:p w14:paraId="64D788A8" w14:textId="06D4F8A3" w:rsidR="0026097E" w:rsidRPr="00544D6C" w:rsidRDefault="00873522" w:rsidP="00873522">
      <w:pPr>
        <w:numPr>
          <w:ilvl w:val="2"/>
          <w:numId w:val="3"/>
        </w:numPr>
        <w:spacing w:after="104"/>
        <w:ind w:left="0" w:firstLine="142"/>
        <w:rPr>
          <w:rFonts w:ascii="宋体" w:eastAsia="宋体" w:hAnsi="宋体"/>
        </w:rPr>
      </w:pPr>
      <w:r w:rsidRPr="00544D6C">
        <w:rPr>
          <w:rFonts w:ascii="宋体" w:eastAsia="宋体" w:hAnsi="宋体" w:cs="宋体" w:hint="eastAsia"/>
        </w:rPr>
        <w:t>表</w:t>
      </w:r>
      <w:r w:rsidRPr="00544D6C">
        <w:rPr>
          <w:rFonts w:ascii="宋体" w:eastAsia="宋体" w:hAnsi="宋体"/>
        </w:rPr>
        <w:t>1</w:t>
      </w:r>
      <w:r w:rsidRPr="00544D6C">
        <w:rPr>
          <w:rFonts w:ascii="宋体" w:eastAsia="宋体" w:hAnsi="宋体" w:cs="宋体" w:hint="eastAsia"/>
        </w:rPr>
        <w:t>中的列表仅是有关因素的术语汇编，并不表示每个</w:t>
      </w:r>
      <w:proofErr w:type="spellStart"/>
      <w:r w:rsidRPr="00544D6C">
        <w:rPr>
          <w:rFonts w:ascii="宋体" w:eastAsia="宋体" w:hAnsi="宋体"/>
        </w:rPr>
        <w:t>PoD</w:t>
      </w:r>
      <w:proofErr w:type="spellEnd"/>
      <w:r w:rsidRPr="00544D6C">
        <w:rPr>
          <w:rFonts w:ascii="宋体" w:eastAsia="宋体" w:hAnsi="宋体" w:cs="宋体" w:hint="eastAsia"/>
        </w:rPr>
        <w:t>都应使用所有术语。</w:t>
      </w:r>
      <w:r w:rsidRPr="00544D6C">
        <w:rPr>
          <w:rFonts w:ascii="宋体" w:eastAsia="宋体" w:hAnsi="宋体"/>
        </w:rPr>
        <w:t xml:space="preserve"> </w:t>
      </w:r>
      <w:r w:rsidRPr="00544D6C">
        <w:rPr>
          <w:rFonts w:ascii="宋体" w:eastAsia="宋体" w:hAnsi="宋体" w:cs="宋体" w:hint="eastAsia"/>
        </w:rPr>
        <w:t>应该在程序上描述在组织基础上使用的特定</w:t>
      </w:r>
      <w:r w:rsidRPr="00544D6C">
        <w:rPr>
          <w:rFonts w:ascii="宋体" w:eastAsia="宋体" w:hAnsi="宋体"/>
        </w:rPr>
        <w:t>AF</w:t>
      </w:r>
      <w:r w:rsidRPr="00544D6C">
        <w:rPr>
          <w:rFonts w:ascii="宋体" w:eastAsia="宋体" w:hAnsi="宋体" w:cs="宋体" w:hint="eastAsia"/>
        </w:rPr>
        <w:t>，以证明文件之间的一致性。</w:t>
      </w:r>
      <w:r w:rsidR="00284695" w:rsidRPr="00544D6C">
        <w:rPr>
          <w:rFonts w:ascii="宋体" w:eastAsia="宋体" w:hAnsi="宋体"/>
        </w:rPr>
        <w:t>.</w:t>
      </w:r>
    </w:p>
    <w:p w14:paraId="3BA284D3" w14:textId="76CF022D" w:rsidR="0026097E" w:rsidRPr="00544D6C" w:rsidRDefault="00284695" w:rsidP="00873522">
      <w:pPr>
        <w:spacing w:after="48" w:line="248" w:lineRule="auto"/>
        <w:ind w:firstLine="0"/>
        <w:rPr>
          <w:rFonts w:ascii="宋体" w:eastAsia="宋体" w:hAnsi="宋体"/>
        </w:rPr>
      </w:pPr>
      <w:r w:rsidRPr="00544D6C">
        <w:rPr>
          <w:rFonts w:ascii="宋体" w:eastAsia="宋体" w:hAnsi="宋体"/>
        </w:rPr>
        <w:t xml:space="preserve">5.8 </w:t>
      </w:r>
      <w:r w:rsidR="00873522" w:rsidRPr="00544D6C">
        <w:rPr>
          <w:rFonts w:ascii="宋体" w:eastAsia="宋体" w:hAnsi="宋体" w:cs="宋体" w:hint="eastAsia"/>
        </w:rPr>
        <w:t>药代动力学调整</w:t>
      </w:r>
      <w:r w:rsidRPr="00544D6C">
        <w:rPr>
          <w:rFonts w:ascii="宋体" w:eastAsia="宋体" w:hAnsi="宋体"/>
        </w:rPr>
        <w:t>:</w:t>
      </w:r>
    </w:p>
    <w:p w14:paraId="64CE6CCA" w14:textId="5CFD6FE9" w:rsidR="0026097E" w:rsidRPr="00544D6C" w:rsidRDefault="00284695" w:rsidP="00873522">
      <w:pPr>
        <w:spacing w:after="48" w:line="248" w:lineRule="auto"/>
        <w:ind w:firstLine="0"/>
        <w:rPr>
          <w:rFonts w:ascii="宋体" w:eastAsia="宋体" w:hAnsi="宋体"/>
        </w:rPr>
      </w:pPr>
      <w:r w:rsidRPr="00544D6C">
        <w:rPr>
          <w:rFonts w:ascii="宋体" w:eastAsia="宋体" w:hAnsi="宋体"/>
        </w:rPr>
        <w:t xml:space="preserve">5.8.1 </w:t>
      </w:r>
      <w:r w:rsidR="00873522" w:rsidRPr="00544D6C">
        <w:rPr>
          <w:rFonts w:ascii="宋体" w:eastAsia="宋体" w:hAnsi="宋体" w:cs="宋体" w:hint="eastAsia"/>
        </w:rPr>
        <w:t>吸收系数</w:t>
      </w:r>
      <w:r w:rsidRPr="00544D6C">
        <w:rPr>
          <w:rFonts w:ascii="宋体" w:eastAsia="宋体" w:hAnsi="宋体"/>
        </w:rPr>
        <w:t>(α, PK-ABS):</w:t>
      </w:r>
    </w:p>
    <w:p w14:paraId="5E306EED" w14:textId="14816003" w:rsidR="0026097E" w:rsidRPr="00544D6C" w:rsidRDefault="00873522" w:rsidP="00873522">
      <w:pPr>
        <w:numPr>
          <w:ilvl w:val="3"/>
          <w:numId w:val="4"/>
        </w:numPr>
        <w:spacing w:after="137"/>
        <w:ind w:left="0" w:firstLine="0"/>
        <w:rPr>
          <w:rFonts w:ascii="宋体" w:eastAsia="宋体" w:hAnsi="宋体"/>
        </w:rPr>
      </w:pPr>
      <w:r w:rsidRPr="00544D6C">
        <w:rPr>
          <w:rFonts w:ascii="宋体" w:eastAsia="宋体" w:hAnsi="宋体" w:cs="宋体" w:hint="eastAsia"/>
        </w:rPr>
        <w:t>吸收因子（也称为</w:t>
      </w:r>
      <w:r w:rsidRPr="00544D6C">
        <w:rPr>
          <w:rFonts w:ascii="宋体" w:eastAsia="宋体" w:hAnsi="宋体"/>
        </w:rPr>
        <w:t>α</w:t>
      </w:r>
      <w:r w:rsidRPr="00544D6C">
        <w:rPr>
          <w:rFonts w:ascii="宋体" w:eastAsia="宋体" w:hAnsi="宋体" w:cs="宋体" w:hint="eastAsia"/>
        </w:rPr>
        <w:t>或</w:t>
      </w:r>
      <w:r w:rsidRPr="00544D6C">
        <w:rPr>
          <w:rFonts w:ascii="宋体" w:eastAsia="宋体" w:hAnsi="宋体"/>
        </w:rPr>
        <w:t>PK-ABS</w:t>
      </w:r>
      <w:r w:rsidRPr="00544D6C">
        <w:rPr>
          <w:rFonts w:ascii="宋体" w:eastAsia="宋体" w:hAnsi="宋体" w:cs="宋体" w:hint="eastAsia"/>
        </w:rPr>
        <w:t>）用于校正</w:t>
      </w:r>
      <w:proofErr w:type="spellStart"/>
      <w:r w:rsidRPr="00544D6C">
        <w:rPr>
          <w:rFonts w:ascii="宋体" w:eastAsia="宋体" w:hAnsi="宋体"/>
        </w:rPr>
        <w:t>PoD</w:t>
      </w:r>
      <w:proofErr w:type="spellEnd"/>
      <w:r w:rsidRPr="00544D6C">
        <w:rPr>
          <w:rFonts w:ascii="宋体" w:eastAsia="宋体" w:hAnsi="宋体" w:cs="宋体" w:hint="eastAsia"/>
        </w:rPr>
        <w:t>来自研究的暴露途径与被评估人群的暴露途径之间的吸收差异（</w:t>
      </w:r>
      <w:r w:rsidRPr="00544D6C">
        <w:rPr>
          <w:rFonts w:ascii="宋体" w:eastAsia="宋体" w:hAnsi="宋体"/>
        </w:rPr>
        <w:t>65</w:t>
      </w:r>
      <w:r w:rsidRPr="00544D6C">
        <w:rPr>
          <w:rFonts w:ascii="宋体" w:eastAsia="宋体" w:hAnsi="宋体" w:cs="宋体" w:hint="eastAsia"/>
        </w:rPr>
        <w:t>）</w:t>
      </w:r>
      <w:r w:rsidRPr="00544D6C">
        <w:rPr>
          <w:rFonts w:ascii="宋体" w:eastAsia="宋体" w:hAnsi="宋体"/>
        </w:rPr>
        <w:t xml:space="preserve"> </w:t>
      </w:r>
      <w:r w:rsidRPr="00544D6C">
        <w:rPr>
          <w:rFonts w:ascii="宋体" w:eastAsia="宋体" w:hAnsi="宋体" w:cs="宋体" w:hint="eastAsia"/>
        </w:rPr>
        <w:t>。</w:t>
      </w:r>
      <w:r w:rsidRPr="00544D6C">
        <w:rPr>
          <w:rFonts w:ascii="宋体" w:eastAsia="宋体" w:hAnsi="宋体"/>
        </w:rPr>
        <w:t xml:space="preserve"> </w:t>
      </w:r>
      <w:r w:rsidRPr="00544D6C">
        <w:rPr>
          <w:rFonts w:ascii="宋体" w:eastAsia="宋体" w:hAnsi="宋体" w:cs="宋体" w:hint="eastAsia"/>
        </w:rPr>
        <w:t>等式</w:t>
      </w:r>
      <w:r w:rsidRPr="00544D6C">
        <w:rPr>
          <w:rFonts w:ascii="宋体" w:eastAsia="宋体" w:hAnsi="宋体"/>
        </w:rPr>
        <w:t>1</w:t>
      </w:r>
      <w:r w:rsidRPr="00544D6C">
        <w:rPr>
          <w:rFonts w:ascii="宋体" w:eastAsia="宋体" w:hAnsi="宋体" w:cs="宋体" w:hint="eastAsia"/>
        </w:rPr>
        <w:t>可用于确定</w:t>
      </w:r>
      <w:r w:rsidRPr="00544D6C">
        <w:rPr>
          <w:rFonts w:ascii="宋体" w:eastAsia="宋体" w:hAnsi="宋体"/>
        </w:rPr>
        <w:t>α</w:t>
      </w:r>
      <w:r w:rsidR="00284695" w:rsidRPr="00544D6C">
        <w:rPr>
          <w:rFonts w:ascii="宋体" w:eastAsia="宋体" w:hAnsi="宋体"/>
        </w:rPr>
        <w:t>.</w:t>
      </w:r>
    </w:p>
    <w:p w14:paraId="031C695F" w14:textId="6B12ADB1" w:rsidR="0026097E" w:rsidRDefault="00284695">
      <w:pPr>
        <w:tabs>
          <w:tab w:val="center" w:pos="2609"/>
          <w:tab w:val="right" w:pos="5030"/>
        </w:tabs>
        <w:spacing w:after="0" w:line="259" w:lineRule="auto"/>
        <w:ind w:right="-1" w:firstLine="0"/>
        <w:jc w:val="left"/>
      </w:pPr>
      <w:r>
        <w:rPr>
          <w:rFonts w:ascii="Calibri" w:eastAsia="Calibri" w:hAnsi="Calibri" w:cs="Calibri"/>
          <w:color w:val="000000"/>
          <w:sz w:val="22"/>
        </w:rPr>
        <w:tab/>
      </w:r>
      <w:r w:rsidRPr="00176F09">
        <w:rPr>
          <w:sz w:val="21"/>
          <w:szCs w:val="21"/>
        </w:rPr>
        <w:t>α</w:t>
      </w:r>
      <w:r w:rsidR="005F06FF" w:rsidRPr="00176F09">
        <w:rPr>
          <w:rFonts w:ascii="Univers" w:eastAsia="Univers" w:hAnsi="Univers" w:cs="Univers"/>
          <w:sz w:val="21"/>
          <w:szCs w:val="21"/>
        </w:rPr>
        <w:t>=</w:t>
      </w:r>
      <w:r w:rsidRPr="00176F09">
        <w:rPr>
          <w:rFonts w:ascii="Univers" w:eastAsia="Univers" w:hAnsi="Univers" w:cs="Univers"/>
          <w:sz w:val="21"/>
          <w:szCs w:val="21"/>
        </w:rPr>
        <w:t xml:space="preserve"> </w:t>
      </w:r>
      <w:r w:rsidRPr="00176F09">
        <w:rPr>
          <w:i/>
          <w:sz w:val="21"/>
          <w:szCs w:val="21"/>
        </w:rPr>
        <w:t xml:space="preserve">F </w:t>
      </w:r>
      <w:r w:rsidRPr="00176F09">
        <w:rPr>
          <w:sz w:val="21"/>
          <w:szCs w:val="21"/>
        </w:rPr>
        <w:t>HBEL⁄</w:t>
      </w:r>
      <w:r w:rsidRPr="00176F09">
        <w:rPr>
          <w:i/>
          <w:sz w:val="21"/>
          <w:szCs w:val="21"/>
        </w:rPr>
        <w:t xml:space="preserve">F </w:t>
      </w:r>
      <w:proofErr w:type="spellStart"/>
      <w:r w:rsidRPr="00176F09">
        <w:rPr>
          <w:sz w:val="21"/>
          <w:szCs w:val="21"/>
        </w:rPr>
        <w:t>PoD</w:t>
      </w:r>
      <w:proofErr w:type="spellEnd"/>
      <w:r>
        <w:rPr>
          <w:sz w:val="10"/>
        </w:rPr>
        <w:tab/>
      </w:r>
      <w:r>
        <w:rPr>
          <w:sz w:val="17"/>
        </w:rPr>
        <w:t>(1)</w:t>
      </w:r>
    </w:p>
    <w:tbl>
      <w:tblPr>
        <w:tblStyle w:val="TableGrid"/>
        <w:tblW w:w="5172" w:type="dxa"/>
        <w:tblInd w:w="-142" w:type="dxa"/>
        <w:tblLook w:val="04A0" w:firstRow="1" w:lastRow="0" w:firstColumn="1" w:lastColumn="0" w:noHBand="0" w:noVBand="1"/>
      </w:tblPr>
      <w:tblGrid>
        <w:gridCol w:w="709"/>
        <w:gridCol w:w="4463"/>
      </w:tblGrid>
      <w:tr w:rsidR="0026097E" w14:paraId="4F2D152E" w14:textId="77777777" w:rsidTr="00DF6756">
        <w:trPr>
          <w:trHeight w:val="701"/>
        </w:trPr>
        <w:tc>
          <w:tcPr>
            <w:tcW w:w="709" w:type="dxa"/>
            <w:tcBorders>
              <w:top w:val="nil"/>
              <w:left w:val="nil"/>
              <w:bottom w:val="nil"/>
              <w:right w:val="nil"/>
            </w:tcBorders>
          </w:tcPr>
          <w:p w14:paraId="715D7976" w14:textId="77777777" w:rsidR="0026097E" w:rsidRPr="00176F09" w:rsidRDefault="00284695">
            <w:pPr>
              <w:spacing w:after="0" w:line="259" w:lineRule="auto"/>
              <w:ind w:firstLine="0"/>
              <w:jc w:val="left"/>
              <w:rPr>
                <w:sz w:val="21"/>
                <w:szCs w:val="21"/>
              </w:rPr>
            </w:pPr>
            <w:proofErr w:type="spellStart"/>
            <w:r w:rsidRPr="00176F09">
              <w:rPr>
                <w:i/>
                <w:sz w:val="21"/>
                <w:szCs w:val="21"/>
              </w:rPr>
              <w:t>F</w:t>
            </w:r>
            <w:r w:rsidRPr="00176F09">
              <w:rPr>
                <w:sz w:val="21"/>
                <w:szCs w:val="21"/>
              </w:rPr>
              <w:t>PoD</w:t>
            </w:r>
            <w:proofErr w:type="spellEnd"/>
          </w:p>
        </w:tc>
        <w:tc>
          <w:tcPr>
            <w:tcW w:w="4463" w:type="dxa"/>
            <w:tcBorders>
              <w:top w:val="nil"/>
              <w:left w:val="nil"/>
              <w:bottom w:val="nil"/>
              <w:right w:val="nil"/>
            </w:tcBorders>
          </w:tcPr>
          <w:p w14:paraId="2A09A5DF" w14:textId="304CE65B" w:rsidR="0026097E" w:rsidRDefault="00284695">
            <w:pPr>
              <w:spacing w:after="0" w:line="259" w:lineRule="auto"/>
              <w:ind w:left="236" w:hanging="236"/>
            </w:pPr>
            <w:r>
              <w:t xml:space="preserve">= </w:t>
            </w:r>
            <w:r w:rsidR="00873522" w:rsidRPr="00873522">
              <w:rPr>
                <w:rFonts w:ascii="宋体" w:eastAsia="宋体" w:hAnsi="宋体" w:cs="宋体" w:hint="eastAsia"/>
              </w:rPr>
              <w:t>研究中使用的给药途径的生物利用度分数是</w:t>
            </w:r>
            <w:proofErr w:type="spellStart"/>
            <w:r w:rsidR="00873522" w:rsidRPr="00873522">
              <w:rPr>
                <w:rFonts w:ascii="宋体" w:eastAsia="宋体" w:hAnsi="宋体" w:cs="宋体"/>
              </w:rPr>
              <w:t>PoD</w:t>
            </w:r>
            <w:proofErr w:type="spellEnd"/>
            <w:r w:rsidR="00873522" w:rsidRPr="00873522">
              <w:rPr>
                <w:rFonts w:ascii="宋体" w:eastAsia="宋体" w:hAnsi="宋体" w:cs="宋体" w:hint="eastAsia"/>
              </w:rPr>
              <w:t>来源于</w:t>
            </w:r>
          </w:p>
        </w:tc>
      </w:tr>
      <w:tr w:rsidR="0026097E" w14:paraId="30D70074" w14:textId="77777777" w:rsidTr="00DF6756">
        <w:trPr>
          <w:trHeight w:val="428"/>
        </w:trPr>
        <w:tc>
          <w:tcPr>
            <w:tcW w:w="709" w:type="dxa"/>
            <w:tcBorders>
              <w:top w:val="nil"/>
              <w:left w:val="nil"/>
              <w:bottom w:val="nil"/>
              <w:right w:val="nil"/>
            </w:tcBorders>
          </w:tcPr>
          <w:p w14:paraId="0F927642" w14:textId="77777777" w:rsidR="0026097E" w:rsidRPr="00176F09" w:rsidRDefault="00284695">
            <w:pPr>
              <w:spacing w:after="0" w:line="259" w:lineRule="auto"/>
              <w:ind w:firstLine="0"/>
              <w:jc w:val="left"/>
              <w:rPr>
                <w:sz w:val="21"/>
                <w:szCs w:val="21"/>
              </w:rPr>
            </w:pPr>
            <w:r w:rsidRPr="00176F09">
              <w:rPr>
                <w:i/>
                <w:sz w:val="21"/>
                <w:szCs w:val="21"/>
              </w:rPr>
              <w:t>F</w:t>
            </w:r>
            <w:r w:rsidRPr="00176F09">
              <w:rPr>
                <w:sz w:val="21"/>
                <w:szCs w:val="21"/>
              </w:rPr>
              <w:t>HBEL</w:t>
            </w:r>
          </w:p>
        </w:tc>
        <w:tc>
          <w:tcPr>
            <w:tcW w:w="4463" w:type="dxa"/>
            <w:tcBorders>
              <w:top w:val="nil"/>
              <w:left w:val="nil"/>
              <w:bottom w:val="nil"/>
              <w:right w:val="nil"/>
            </w:tcBorders>
          </w:tcPr>
          <w:p w14:paraId="00CF6EB7" w14:textId="7DE578F8" w:rsidR="0026097E" w:rsidRDefault="00284695">
            <w:pPr>
              <w:spacing w:after="0" w:line="259" w:lineRule="auto"/>
              <w:ind w:left="236" w:hanging="236"/>
            </w:pPr>
            <w:r>
              <w:t>=</w:t>
            </w:r>
            <w:r w:rsidR="00873522" w:rsidRPr="00873522">
              <w:rPr>
                <w:rFonts w:ascii="宋体" w:eastAsia="宋体" w:hAnsi="宋体" w:cs="宋体" w:hint="eastAsia"/>
              </w:rPr>
              <w:t>建立</w:t>
            </w:r>
            <w:r w:rsidR="00873522" w:rsidRPr="00873522">
              <w:t>HBEL</w:t>
            </w:r>
            <w:r w:rsidR="00873522" w:rsidRPr="00873522">
              <w:rPr>
                <w:rFonts w:ascii="宋体" w:eastAsia="宋体" w:hAnsi="宋体" w:cs="宋体" w:hint="eastAsia"/>
              </w:rPr>
              <w:t>的给药方式的生物利用度分数</w:t>
            </w:r>
            <w:r>
              <w:t>.</w:t>
            </w:r>
          </w:p>
        </w:tc>
      </w:tr>
    </w:tbl>
    <w:p w14:paraId="43392ECB" w14:textId="0900558F" w:rsidR="0026097E" w:rsidRDefault="00873522" w:rsidP="00873522">
      <w:pPr>
        <w:numPr>
          <w:ilvl w:val="3"/>
          <w:numId w:val="4"/>
        </w:numPr>
        <w:ind w:left="0" w:firstLine="142"/>
      </w:pPr>
      <w:r w:rsidRPr="00873522">
        <w:rPr>
          <w:rFonts w:ascii="宋体" w:eastAsia="宋体" w:hAnsi="宋体" w:cs="宋体" w:hint="eastAsia"/>
        </w:rPr>
        <w:t>例如，如果</w:t>
      </w:r>
      <w:proofErr w:type="spellStart"/>
      <w:r w:rsidRPr="00873522">
        <w:t>PoD</w:t>
      </w:r>
      <w:proofErr w:type="spellEnd"/>
      <w:r w:rsidRPr="00873522">
        <w:rPr>
          <w:rFonts w:ascii="宋体" w:eastAsia="宋体" w:hAnsi="宋体" w:cs="宋体" w:hint="eastAsia"/>
        </w:rPr>
        <w:t>来自一项研究，在该研究中，口服生物利用度为</w:t>
      </w:r>
      <w:r w:rsidRPr="00873522">
        <w:t>0.2</w:t>
      </w:r>
      <w:r w:rsidRPr="00873522">
        <w:rPr>
          <w:rFonts w:ascii="宋体" w:eastAsia="宋体" w:hAnsi="宋体" w:cs="宋体" w:hint="eastAsia"/>
        </w:rPr>
        <w:t>而</w:t>
      </w:r>
      <w:r w:rsidRPr="00873522">
        <w:t>IV</w:t>
      </w:r>
      <w:r w:rsidRPr="00873522">
        <w:rPr>
          <w:rFonts w:ascii="宋体" w:eastAsia="宋体" w:hAnsi="宋体" w:cs="宋体" w:hint="eastAsia"/>
        </w:rPr>
        <w:t>生物利用度为小分子的小分子口服暴露途径为</w:t>
      </w:r>
      <w:r w:rsidRPr="00873522">
        <w:t>HBEL</w:t>
      </w:r>
      <w:r w:rsidRPr="00873522">
        <w:rPr>
          <w:rFonts w:ascii="宋体" w:eastAsia="宋体" w:hAnsi="宋体" w:cs="宋体" w:hint="eastAsia"/>
        </w:rPr>
        <w:t>，</w:t>
      </w:r>
      <w:r w:rsidRPr="00873522">
        <w:t xml:space="preserve"> </w:t>
      </w:r>
      <w:r w:rsidRPr="00873522">
        <w:rPr>
          <w:rFonts w:ascii="宋体" w:eastAsia="宋体" w:hAnsi="宋体" w:cs="宋体" w:hint="eastAsia"/>
        </w:rPr>
        <w:t>然后注意等式</w:t>
      </w:r>
      <w:r w:rsidRPr="00873522">
        <w:t xml:space="preserve">2-4 </w:t>
      </w:r>
      <w:r w:rsidR="00284695">
        <w:rPr>
          <w:b/>
        </w:rPr>
        <w:t>(</w:t>
      </w:r>
      <w:r w:rsidR="00284695">
        <w:rPr>
          <w:b/>
          <w:color w:val="C1151A"/>
        </w:rPr>
        <w:t>50</w:t>
      </w:r>
      <w:r w:rsidR="00284695">
        <w:rPr>
          <w:b/>
        </w:rPr>
        <w:t>)</w:t>
      </w:r>
      <w:r w:rsidR="00284695">
        <w:t>:</w:t>
      </w:r>
    </w:p>
    <w:tbl>
      <w:tblPr>
        <w:tblStyle w:val="TableGrid"/>
        <w:tblW w:w="4962" w:type="dxa"/>
        <w:tblInd w:w="0" w:type="dxa"/>
        <w:tblLook w:val="04A0" w:firstRow="1" w:lastRow="0" w:firstColumn="1" w:lastColumn="0" w:noHBand="0" w:noVBand="1"/>
      </w:tblPr>
      <w:tblGrid>
        <w:gridCol w:w="4962"/>
      </w:tblGrid>
      <w:tr w:rsidR="00DF6756" w:rsidRPr="00176F09" w14:paraId="6BC86A18" w14:textId="77777777" w:rsidTr="00BF0BE8">
        <w:trPr>
          <w:trHeight w:val="240"/>
        </w:trPr>
        <w:tc>
          <w:tcPr>
            <w:tcW w:w="4962" w:type="dxa"/>
            <w:tcBorders>
              <w:top w:val="nil"/>
              <w:left w:val="nil"/>
              <w:bottom w:val="nil"/>
              <w:right w:val="nil"/>
            </w:tcBorders>
          </w:tcPr>
          <w:p w14:paraId="3CA3CA60" w14:textId="77777777" w:rsidR="00DF6756" w:rsidRPr="00176F09" w:rsidRDefault="00DF6756">
            <w:pPr>
              <w:spacing w:after="0" w:line="259" w:lineRule="auto"/>
              <w:ind w:firstLine="0"/>
              <w:jc w:val="left"/>
              <w:rPr>
                <w:sz w:val="21"/>
                <w:szCs w:val="21"/>
              </w:rPr>
            </w:pPr>
            <w:r w:rsidRPr="00176F09">
              <w:rPr>
                <w:i/>
                <w:sz w:val="21"/>
                <w:szCs w:val="21"/>
              </w:rPr>
              <w:t xml:space="preserve">F </w:t>
            </w:r>
            <w:proofErr w:type="spellStart"/>
            <w:r w:rsidRPr="00176F09">
              <w:rPr>
                <w:sz w:val="21"/>
                <w:szCs w:val="21"/>
                <w:vertAlign w:val="subscript"/>
              </w:rPr>
              <w:t>PoD</w:t>
            </w:r>
            <w:proofErr w:type="spellEnd"/>
            <w:r w:rsidRPr="00176F09">
              <w:rPr>
                <w:sz w:val="21"/>
                <w:szCs w:val="21"/>
                <w:vertAlign w:val="subscript"/>
              </w:rPr>
              <w:t xml:space="preserve">-ORAL </w:t>
            </w:r>
            <w:r w:rsidRPr="00176F09">
              <w:rPr>
                <w:rFonts w:asciiTheme="minorEastAsia" w:eastAsiaTheme="minorEastAsia" w:hAnsiTheme="minorEastAsia" w:cs="Univers" w:hint="eastAsia"/>
                <w:sz w:val="21"/>
                <w:szCs w:val="21"/>
              </w:rPr>
              <w:t>=</w:t>
            </w:r>
            <w:r w:rsidRPr="00176F09">
              <w:rPr>
                <w:rFonts w:ascii="Univers" w:eastAsia="Univers" w:hAnsi="Univers" w:cs="Univers"/>
                <w:sz w:val="21"/>
                <w:szCs w:val="21"/>
              </w:rPr>
              <w:t xml:space="preserve"> </w:t>
            </w:r>
            <w:r w:rsidRPr="00176F09">
              <w:rPr>
                <w:sz w:val="21"/>
                <w:szCs w:val="21"/>
              </w:rPr>
              <w:t>0.2</w:t>
            </w:r>
          </w:p>
          <w:p w14:paraId="37A2634E" w14:textId="74CB7711" w:rsidR="00DF6756" w:rsidRPr="00176F09" w:rsidRDefault="00DF6756">
            <w:pPr>
              <w:spacing w:after="0" w:line="259" w:lineRule="auto"/>
              <w:ind w:firstLine="0"/>
              <w:jc w:val="right"/>
              <w:rPr>
                <w:sz w:val="21"/>
                <w:szCs w:val="21"/>
              </w:rPr>
            </w:pPr>
            <w:r w:rsidRPr="00176F09">
              <w:rPr>
                <w:sz w:val="21"/>
                <w:szCs w:val="21"/>
              </w:rPr>
              <w:t>(2)</w:t>
            </w:r>
          </w:p>
        </w:tc>
      </w:tr>
      <w:tr w:rsidR="00DF6756" w:rsidRPr="00176F09" w14:paraId="324F2AC6" w14:textId="77777777" w:rsidTr="00BF0BE8">
        <w:trPr>
          <w:trHeight w:val="240"/>
        </w:trPr>
        <w:tc>
          <w:tcPr>
            <w:tcW w:w="4962" w:type="dxa"/>
            <w:tcBorders>
              <w:top w:val="nil"/>
              <w:left w:val="nil"/>
              <w:bottom w:val="nil"/>
              <w:right w:val="nil"/>
            </w:tcBorders>
          </w:tcPr>
          <w:p w14:paraId="15723A36" w14:textId="507D8088" w:rsidR="00DF6756" w:rsidRPr="00176F09" w:rsidRDefault="00DF6756">
            <w:pPr>
              <w:spacing w:after="0" w:line="259" w:lineRule="auto"/>
              <w:ind w:left="46" w:firstLine="0"/>
              <w:jc w:val="left"/>
              <w:rPr>
                <w:sz w:val="21"/>
                <w:szCs w:val="21"/>
              </w:rPr>
            </w:pPr>
            <w:r w:rsidRPr="00176F09">
              <w:rPr>
                <w:i/>
                <w:sz w:val="21"/>
                <w:szCs w:val="21"/>
              </w:rPr>
              <w:t xml:space="preserve">F </w:t>
            </w:r>
            <w:r w:rsidRPr="00176F09">
              <w:rPr>
                <w:sz w:val="21"/>
                <w:szCs w:val="21"/>
                <w:vertAlign w:val="subscript"/>
              </w:rPr>
              <w:t xml:space="preserve">HBEL-IV </w:t>
            </w:r>
            <w:r w:rsidRPr="00176F09">
              <w:rPr>
                <w:rFonts w:asciiTheme="minorEastAsia" w:eastAsiaTheme="minorEastAsia" w:hAnsiTheme="minorEastAsia" w:cs="Univers" w:hint="eastAsia"/>
                <w:sz w:val="21"/>
                <w:szCs w:val="21"/>
              </w:rPr>
              <w:t>=</w:t>
            </w:r>
            <w:r w:rsidRPr="00176F09">
              <w:rPr>
                <w:sz w:val="21"/>
                <w:szCs w:val="21"/>
              </w:rPr>
              <w:t>1.0</w:t>
            </w:r>
          </w:p>
          <w:p w14:paraId="127BCC09" w14:textId="1F7CE537" w:rsidR="00DF6756" w:rsidRPr="00176F09" w:rsidRDefault="00DF6756">
            <w:pPr>
              <w:spacing w:after="0" w:line="259" w:lineRule="auto"/>
              <w:ind w:firstLine="0"/>
              <w:jc w:val="right"/>
              <w:rPr>
                <w:sz w:val="21"/>
                <w:szCs w:val="21"/>
              </w:rPr>
            </w:pPr>
            <w:r w:rsidRPr="00176F09">
              <w:rPr>
                <w:sz w:val="21"/>
                <w:szCs w:val="21"/>
              </w:rPr>
              <w:t>(3)</w:t>
            </w:r>
          </w:p>
        </w:tc>
      </w:tr>
    </w:tbl>
    <w:p w14:paraId="2228AC92" w14:textId="559CB6E4" w:rsidR="0026097E" w:rsidRPr="00176F09" w:rsidRDefault="00284695">
      <w:pPr>
        <w:tabs>
          <w:tab w:val="center" w:pos="2609"/>
          <w:tab w:val="right" w:pos="5030"/>
        </w:tabs>
        <w:spacing w:after="172" w:line="259" w:lineRule="auto"/>
        <w:ind w:right="-1" w:firstLine="0"/>
        <w:jc w:val="left"/>
        <w:rPr>
          <w:sz w:val="21"/>
          <w:szCs w:val="21"/>
        </w:rPr>
      </w:pPr>
      <w:r w:rsidRPr="00176F09">
        <w:rPr>
          <w:sz w:val="21"/>
          <w:szCs w:val="21"/>
        </w:rPr>
        <w:t>α</w:t>
      </w:r>
      <w:r w:rsidR="00544D6C" w:rsidRPr="00176F09">
        <w:rPr>
          <w:rFonts w:asciiTheme="minorEastAsia" w:eastAsiaTheme="minorEastAsia" w:hAnsiTheme="minorEastAsia" w:cs="Univers" w:hint="eastAsia"/>
          <w:sz w:val="21"/>
          <w:szCs w:val="21"/>
        </w:rPr>
        <w:t>=</w:t>
      </w:r>
      <w:r w:rsidRPr="00176F09">
        <w:rPr>
          <w:rFonts w:ascii="Univers" w:eastAsia="Univers" w:hAnsi="Univers" w:cs="Univers"/>
          <w:sz w:val="21"/>
          <w:szCs w:val="21"/>
        </w:rPr>
        <w:t xml:space="preserve"> </w:t>
      </w:r>
      <w:r w:rsidRPr="00176F09">
        <w:rPr>
          <w:i/>
          <w:sz w:val="21"/>
          <w:szCs w:val="21"/>
        </w:rPr>
        <w:t xml:space="preserve">F </w:t>
      </w:r>
      <w:r w:rsidRPr="00176F09">
        <w:rPr>
          <w:sz w:val="21"/>
          <w:szCs w:val="21"/>
          <w:vertAlign w:val="subscript"/>
        </w:rPr>
        <w:t>HBEL</w:t>
      </w:r>
      <w:r w:rsidRPr="00176F09">
        <w:rPr>
          <w:sz w:val="21"/>
          <w:szCs w:val="21"/>
        </w:rPr>
        <w:t>⁄</w:t>
      </w:r>
      <w:r w:rsidRPr="00176F09">
        <w:rPr>
          <w:i/>
          <w:sz w:val="21"/>
          <w:szCs w:val="21"/>
        </w:rPr>
        <w:t xml:space="preserve">F </w:t>
      </w:r>
      <w:proofErr w:type="spellStart"/>
      <w:proofErr w:type="gramStart"/>
      <w:r w:rsidRPr="00176F09">
        <w:rPr>
          <w:sz w:val="21"/>
          <w:szCs w:val="21"/>
          <w:vertAlign w:val="subscript"/>
        </w:rPr>
        <w:t>PoD</w:t>
      </w:r>
      <w:proofErr w:type="spellEnd"/>
      <w:r w:rsidRPr="00176F09">
        <w:rPr>
          <w:sz w:val="21"/>
          <w:szCs w:val="21"/>
          <w:vertAlign w:val="subscript"/>
        </w:rPr>
        <w:t xml:space="preserve"> </w:t>
      </w:r>
      <w:r w:rsidRPr="00176F09">
        <w:rPr>
          <w:rFonts w:ascii="Univers" w:eastAsia="Univers" w:hAnsi="Univers" w:cs="Univers"/>
          <w:sz w:val="21"/>
          <w:szCs w:val="21"/>
        </w:rPr>
        <w:t xml:space="preserve"> </w:t>
      </w:r>
      <w:r w:rsidRPr="00176F09">
        <w:rPr>
          <w:sz w:val="21"/>
          <w:szCs w:val="21"/>
        </w:rPr>
        <w:t>1</w:t>
      </w:r>
      <w:proofErr w:type="gramEnd"/>
      <w:r w:rsidRPr="00176F09">
        <w:rPr>
          <w:sz w:val="21"/>
          <w:szCs w:val="21"/>
        </w:rPr>
        <w:t xml:space="preserve">.0⁄0.2 </w:t>
      </w:r>
      <w:r w:rsidR="00DF6756" w:rsidRPr="00176F09">
        <w:rPr>
          <w:rFonts w:asciiTheme="minorEastAsia" w:eastAsiaTheme="minorEastAsia" w:hAnsiTheme="minorEastAsia" w:cs="Univers" w:hint="eastAsia"/>
          <w:sz w:val="21"/>
          <w:szCs w:val="21"/>
        </w:rPr>
        <w:t>=</w:t>
      </w:r>
      <w:r w:rsidRPr="00176F09">
        <w:rPr>
          <w:sz w:val="21"/>
          <w:szCs w:val="21"/>
        </w:rPr>
        <w:t>5.0</w:t>
      </w:r>
      <w:r w:rsidRPr="00176F09">
        <w:rPr>
          <w:sz w:val="21"/>
          <w:szCs w:val="21"/>
        </w:rPr>
        <w:tab/>
        <w:t>(4)</w:t>
      </w:r>
    </w:p>
    <w:tbl>
      <w:tblPr>
        <w:tblStyle w:val="TableGrid"/>
        <w:tblpPr w:vertAnchor="text" w:horzAnchor="margin" w:tblpY="1387"/>
        <w:tblOverlap w:val="never"/>
        <w:tblW w:w="10418" w:type="dxa"/>
        <w:tblInd w:w="0" w:type="dxa"/>
        <w:tblCellMar>
          <w:right w:w="1" w:type="dxa"/>
        </w:tblCellMar>
        <w:tblLook w:val="04A0" w:firstRow="1" w:lastRow="0" w:firstColumn="1" w:lastColumn="0" w:noHBand="0" w:noVBand="1"/>
      </w:tblPr>
      <w:tblGrid>
        <w:gridCol w:w="10418"/>
      </w:tblGrid>
      <w:tr w:rsidR="0026097E" w14:paraId="0AD0B349" w14:textId="77777777" w:rsidTr="00873522">
        <w:trPr>
          <w:trHeight w:val="148"/>
        </w:trPr>
        <w:tc>
          <w:tcPr>
            <w:tcW w:w="10418" w:type="dxa"/>
            <w:tcBorders>
              <w:top w:val="nil"/>
              <w:left w:val="nil"/>
              <w:bottom w:val="nil"/>
              <w:right w:val="nil"/>
            </w:tcBorders>
          </w:tcPr>
          <w:p w14:paraId="0D713130" w14:textId="15D83C4E" w:rsidR="0026097E" w:rsidRDefault="00284695">
            <w:pPr>
              <w:spacing w:after="0" w:line="259" w:lineRule="auto"/>
              <w:ind w:left="2692" w:firstLine="0"/>
            </w:pPr>
            <w:r>
              <w:rPr>
                <w:rFonts w:ascii="Arial" w:eastAsia="Arial" w:hAnsi="Arial" w:cs="Arial"/>
                <w:b/>
                <w:sz w:val="16"/>
              </w:rPr>
              <w:t xml:space="preserve">TABLE 1 </w:t>
            </w:r>
            <w:r w:rsidR="005F06FF">
              <w:rPr>
                <w:rFonts w:ascii="Arial" w:eastAsia="Arial" w:hAnsi="Arial" w:cs="Arial"/>
                <w:b/>
                <w:sz w:val="16"/>
              </w:rPr>
              <w:t xml:space="preserve">      </w:t>
            </w:r>
            <w:r w:rsidR="005F06FF" w:rsidRPr="005F06FF">
              <w:rPr>
                <w:rFonts w:ascii="宋体" w:eastAsia="宋体" w:hAnsi="宋体" w:cs="宋体" w:hint="eastAsia"/>
                <w:b/>
                <w:sz w:val="16"/>
              </w:rPr>
              <w:t>各种指南中的调整因子术语</w:t>
            </w:r>
          </w:p>
          <w:tbl>
            <w:tblPr>
              <w:tblStyle w:val="TableGrid"/>
              <w:tblW w:w="10417" w:type="dxa"/>
              <w:tblInd w:w="0" w:type="dxa"/>
              <w:tblCellMar>
                <w:top w:w="11" w:type="dxa"/>
                <w:right w:w="115" w:type="dxa"/>
              </w:tblCellMar>
              <w:tblLook w:val="04A0" w:firstRow="1" w:lastRow="0" w:firstColumn="1" w:lastColumn="0" w:noHBand="0" w:noVBand="1"/>
            </w:tblPr>
            <w:tblGrid>
              <w:gridCol w:w="4543"/>
              <w:gridCol w:w="3636"/>
              <w:gridCol w:w="2238"/>
            </w:tblGrid>
            <w:tr w:rsidR="0026097E" w14:paraId="13B6B359" w14:textId="77777777">
              <w:trPr>
                <w:trHeight w:val="233"/>
              </w:trPr>
              <w:tc>
                <w:tcPr>
                  <w:tcW w:w="4543" w:type="dxa"/>
                  <w:tcBorders>
                    <w:top w:val="single" w:sz="8" w:space="0" w:color="221F1F"/>
                    <w:left w:val="nil"/>
                    <w:bottom w:val="single" w:sz="4" w:space="0" w:color="221F1F"/>
                    <w:right w:val="nil"/>
                  </w:tcBorders>
                </w:tcPr>
                <w:p w14:paraId="4A78B13D" w14:textId="6C7FDCF9" w:rsidR="0026097E" w:rsidRPr="00176F09" w:rsidRDefault="005F06FF" w:rsidP="00AC4723">
                  <w:pPr>
                    <w:framePr w:wrap="around" w:vAnchor="text" w:hAnchor="margin" w:y="1387"/>
                    <w:spacing w:after="0" w:line="259" w:lineRule="auto"/>
                    <w:ind w:left="1227" w:firstLine="0"/>
                    <w:suppressOverlap/>
                    <w:jc w:val="left"/>
                    <w:rPr>
                      <w:sz w:val="18"/>
                      <w:szCs w:val="18"/>
                    </w:rPr>
                  </w:pPr>
                  <w:r w:rsidRPr="00176F09">
                    <w:rPr>
                      <w:rFonts w:ascii="宋体" w:eastAsia="宋体" w:hAnsi="宋体" w:cs="宋体" w:hint="eastAsia"/>
                      <w:sz w:val="18"/>
                      <w:szCs w:val="18"/>
                    </w:rPr>
                    <w:t>调整系数</w:t>
                  </w:r>
                </w:p>
              </w:tc>
              <w:tc>
                <w:tcPr>
                  <w:tcW w:w="3636" w:type="dxa"/>
                  <w:tcBorders>
                    <w:top w:val="single" w:sz="8" w:space="0" w:color="221F1F"/>
                    <w:left w:val="nil"/>
                    <w:bottom w:val="single" w:sz="4" w:space="0" w:color="221F1F"/>
                    <w:right w:val="nil"/>
                  </w:tcBorders>
                </w:tcPr>
                <w:p w14:paraId="133450D9" w14:textId="77777777" w:rsidR="0026097E" w:rsidRPr="00176F09" w:rsidRDefault="00284695" w:rsidP="00AC4723">
                  <w:pPr>
                    <w:framePr w:wrap="around" w:vAnchor="text" w:hAnchor="margin" w:y="1387"/>
                    <w:spacing w:after="0" w:line="259" w:lineRule="auto"/>
                    <w:ind w:firstLine="0"/>
                    <w:suppressOverlap/>
                    <w:jc w:val="left"/>
                    <w:rPr>
                      <w:sz w:val="18"/>
                      <w:szCs w:val="18"/>
                    </w:rPr>
                  </w:pPr>
                  <w:r w:rsidRPr="00176F09">
                    <w:rPr>
                      <w:rFonts w:ascii="Arial" w:eastAsia="Arial" w:hAnsi="Arial" w:cs="Arial"/>
                      <w:sz w:val="18"/>
                      <w:szCs w:val="18"/>
                    </w:rPr>
                    <w:t xml:space="preserve">AF </w:t>
                  </w:r>
                  <w:r w:rsidRPr="00176F09">
                    <w:rPr>
                      <w:rFonts w:ascii="Arial" w:eastAsia="Arial" w:hAnsi="Arial" w:cs="Arial"/>
                      <w:b/>
                      <w:sz w:val="18"/>
                      <w:szCs w:val="18"/>
                    </w:rPr>
                    <w:t>(</w:t>
                  </w:r>
                  <w:r w:rsidRPr="00176F09">
                    <w:rPr>
                      <w:rFonts w:ascii="Arial" w:eastAsia="Arial" w:hAnsi="Arial" w:cs="Arial"/>
                      <w:b/>
                      <w:color w:val="C1151A"/>
                      <w:sz w:val="18"/>
                      <w:szCs w:val="18"/>
                    </w:rPr>
                    <w:t>14</w:t>
                  </w:r>
                  <w:r w:rsidRPr="00176F09">
                    <w:rPr>
                      <w:rFonts w:ascii="Arial" w:eastAsia="Arial" w:hAnsi="Arial" w:cs="Arial"/>
                      <w:b/>
                      <w:sz w:val="18"/>
                      <w:szCs w:val="18"/>
                    </w:rPr>
                    <w:t xml:space="preserve">, </w:t>
                  </w:r>
                  <w:r w:rsidRPr="00176F09">
                    <w:rPr>
                      <w:rFonts w:ascii="Arial" w:eastAsia="Arial" w:hAnsi="Arial" w:cs="Arial"/>
                      <w:b/>
                      <w:color w:val="C1151A"/>
                      <w:sz w:val="18"/>
                      <w:szCs w:val="18"/>
                    </w:rPr>
                    <w:t>52</w:t>
                  </w:r>
                  <w:r w:rsidRPr="00176F09">
                    <w:rPr>
                      <w:rFonts w:ascii="Arial" w:eastAsia="Arial" w:hAnsi="Arial" w:cs="Arial"/>
                      <w:b/>
                      <w:sz w:val="18"/>
                      <w:szCs w:val="18"/>
                    </w:rPr>
                    <w:t>)</w:t>
                  </w:r>
                  <w:r w:rsidRPr="00176F09">
                    <w:rPr>
                      <w:rFonts w:ascii="Arial" w:eastAsia="Arial" w:hAnsi="Arial" w:cs="Arial"/>
                      <w:sz w:val="18"/>
                      <w:szCs w:val="18"/>
                    </w:rPr>
                    <w:t>, ICH Q3C(R6)</w:t>
                  </w:r>
                </w:p>
              </w:tc>
              <w:tc>
                <w:tcPr>
                  <w:tcW w:w="2238" w:type="dxa"/>
                  <w:tcBorders>
                    <w:top w:val="single" w:sz="8" w:space="0" w:color="221F1F"/>
                    <w:left w:val="nil"/>
                    <w:bottom w:val="single" w:sz="4" w:space="0" w:color="221F1F"/>
                    <w:right w:val="nil"/>
                  </w:tcBorders>
                </w:tcPr>
                <w:p w14:paraId="590E4695" w14:textId="77777777" w:rsidR="0026097E" w:rsidRPr="00176F09" w:rsidRDefault="00284695" w:rsidP="00AC4723">
                  <w:pPr>
                    <w:framePr w:wrap="around" w:vAnchor="text" w:hAnchor="margin" w:y="1387"/>
                    <w:spacing w:after="0" w:line="259" w:lineRule="auto"/>
                    <w:ind w:firstLine="0"/>
                    <w:suppressOverlap/>
                    <w:jc w:val="left"/>
                    <w:rPr>
                      <w:sz w:val="18"/>
                      <w:szCs w:val="18"/>
                    </w:rPr>
                  </w:pPr>
                  <w:r w:rsidRPr="00176F09">
                    <w:rPr>
                      <w:rFonts w:ascii="Arial" w:eastAsia="Arial" w:hAnsi="Arial" w:cs="Arial"/>
                      <w:sz w:val="18"/>
                      <w:szCs w:val="18"/>
                    </w:rPr>
                    <w:t xml:space="preserve">AF </w:t>
                  </w:r>
                  <w:r w:rsidRPr="00176F09">
                    <w:rPr>
                      <w:rFonts w:ascii="Arial" w:eastAsia="Arial" w:hAnsi="Arial" w:cs="Arial"/>
                      <w:b/>
                      <w:sz w:val="18"/>
                      <w:szCs w:val="18"/>
                    </w:rPr>
                    <w:t>(</w:t>
                  </w:r>
                  <w:r w:rsidRPr="00176F09">
                    <w:rPr>
                      <w:rFonts w:ascii="Arial" w:eastAsia="Arial" w:hAnsi="Arial" w:cs="Arial"/>
                      <w:b/>
                      <w:color w:val="C1151A"/>
                      <w:sz w:val="18"/>
                      <w:szCs w:val="18"/>
                    </w:rPr>
                    <w:t>41</w:t>
                  </w:r>
                  <w:r w:rsidRPr="00176F09">
                    <w:rPr>
                      <w:rFonts w:ascii="Arial" w:eastAsia="Arial" w:hAnsi="Arial" w:cs="Arial"/>
                      <w:b/>
                      <w:sz w:val="18"/>
                      <w:szCs w:val="18"/>
                    </w:rPr>
                    <w:t xml:space="preserve">, </w:t>
                  </w:r>
                  <w:r w:rsidRPr="00176F09">
                    <w:rPr>
                      <w:rFonts w:ascii="Arial" w:eastAsia="Arial" w:hAnsi="Arial" w:cs="Arial"/>
                      <w:b/>
                      <w:color w:val="C1151A"/>
                      <w:sz w:val="18"/>
                      <w:szCs w:val="18"/>
                    </w:rPr>
                    <w:t>62</w:t>
                  </w:r>
                  <w:r w:rsidRPr="00176F09">
                    <w:rPr>
                      <w:rFonts w:ascii="Arial" w:eastAsia="Arial" w:hAnsi="Arial" w:cs="Arial"/>
                      <w:b/>
                      <w:sz w:val="18"/>
                      <w:szCs w:val="18"/>
                    </w:rPr>
                    <w:t xml:space="preserve">, </w:t>
                  </w:r>
                  <w:r w:rsidRPr="00176F09">
                    <w:rPr>
                      <w:rFonts w:ascii="Arial" w:eastAsia="Arial" w:hAnsi="Arial" w:cs="Arial"/>
                      <w:b/>
                      <w:color w:val="C1151A"/>
                      <w:sz w:val="18"/>
                      <w:szCs w:val="18"/>
                    </w:rPr>
                    <w:t>63</w:t>
                  </w:r>
                  <w:r w:rsidRPr="00176F09">
                    <w:rPr>
                      <w:rFonts w:ascii="Arial" w:eastAsia="Arial" w:hAnsi="Arial" w:cs="Arial"/>
                      <w:b/>
                      <w:sz w:val="18"/>
                      <w:szCs w:val="18"/>
                    </w:rPr>
                    <w:t xml:space="preserve">, </w:t>
                  </w:r>
                  <w:r w:rsidRPr="00176F09">
                    <w:rPr>
                      <w:rFonts w:ascii="Arial" w:eastAsia="Arial" w:hAnsi="Arial" w:cs="Arial"/>
                      <w:b/>
                      <w:color w:val="C1151A"/>
                      <w:sz w:val="18"/>
                      <w:szCs w:val="18"/>
                    </w:rPr>
                    <w:t>64</w:t>
                  </w:r>
                  <w:r w:rsidRPr="00176F09">
                    <w:rPr>
                      <w:rFonts w:ascii="Arial" w:eastAsia="Arial" w:hAnsi="Arial" w:cs="Arial"/>
                      <w:b/>
                      <w:sz w:val="18"/>
                      <w:szCs w:val="18"/>
                    </w:rPr>
                    <w:t>)</w:t>
                  </w:r>
                </w:p>
              </w:tc>
            </w:tr>
            <w:tr w:rsidR="0026097E" w14:paraId="0030E74C" w14:textId="77777777">
              <w:trPr>
                <w:trHeight w:val="382"/>
              </w:trPr>
              <w:tc>
                <w:tcPr>
                  <w:tcW w:w="4543" w:type="dxa"/>
                  <w:tcBorders>
                    <w:top w:val="single" w:sz="4" w:space="0" w:color="221F1F"/>
                    <w:left w:val="nil"/>
                    <w:bottom w:val="nil"/>
                    <w:right w:val="nil"/>
                  </w:tcBorders>
                </w:tcPr>
                <w:p w14:paraId="630B226A" w14:textId="6F3A0208" w:rsidR="0026097E" w:rsidRPr="00176F09" w:rsidRDefault="00DF6756" w:rsidP="00AC4723">
                  <w:pPr>
                    <w:framePr w:wrap="around" w:vAnchor="text" w:hAnchor="margin" w:y="1387"/>
                    <w:spacing w:after="0" w:line="259" w:lineRule="auto"/>
                    <w:ind w:left="140" w:right="601" w:hanging="140"/>
                    <w:suppressOverlap/>
                    <w:jc w:val="left"/>
                    <w:rPr>
                      <w:sz w:val="18"/>
                      <w:szCs w:val="18"/>
                    </w:rPr>
                  </w:pPr>
                  <w:r w:rsidRPr="00176F09">
                    <w:rPr>
                      <w:rFonts w:ascii="宋体" w:eastAsia="宋体" w:hAnsi="宋体" w:cs="宋体" w:hint="eastAsia"/>
                      <w:sz w:val="18"/>
                      <w:szCs w:val="18"/>
                    </w:rPr>
                    <w:t>药代动力学调整，即生物利用度校正，生物蓄积，</w:t>
                  </w:r>
                  <w:r w:rsidRPr="00176F09">
                    <w:rPr>
                      <w:rFonts w:ascii="Arial" w:eastAsia="Arial" w:hAnsi="Arial" w:cs="Arial"/>
                      <w:sz w:val="18"/>
                      <w:szCs w:val="18"/>
                    </w:rPr>
                    <w:t>PK</w:t>
                  </w:r>
                  <w:r w:rsidRPr="00176F09">
                    <w:rPr>
                      <w:rFonts w:ascii="宋体" w:eastAsia="宋体" w:hAnsi="宋体" w:cs="宋体" w:hint="eastAsia"/>
                      <w:sz w:val="18"/>
                      <w:szCs w:val="18"/>
                    </w:rPr>
                    <w:t>，</w:t>
                  </w:r>
                  <w:r w:rsidRPr="00176F09">
                    <w:rPr>
                      <w:rFonts w:ascii="Arial" w:eastAsia="Arial" w:hAnsi="Arial" w:cs="Arial"/>
                      <w:sz w:val="18"/>
                      <w:szCs w:val="18"/>
                    </w:rPr>
                    <w:t>PD</w:t>
                  </w:r>
                  <w:r w:rsidRPr="00176F09">
                    <w:rPr>
                      <w:rFonts w:ascii="宋体" w:eastAsia="宋体" w:hAnsi="宋体" w:cs="宋体" w:hint="eastAsia"/>
                      <w:sz w:val="18"/>
                      <w:szCs w:val="18"/>
                    </w:rPr>
                    <w:t>）</w:t>
                  </w:r>
                </w:p>
              </w:tc>
              <w:tc>
                <w:tcPr>
                  <w:tcW w:w="3636" w:type="dxa"/>
                  <w:tcBorders>
                    <w:top w:val="single" w:sz="4" w:space="0" w:color="221F1F"/>
                    <w:left w:val="nil"/>
                    <w:bottom w:val="nil"/>
                    <w:right w:val="nil"/>
                  </w:tcBorders>
                </w:tcPr>
                <w:p w14:paraId="3D34287B" w14:textId="77777777" w:rsidR="0026097E" w:rsidRPr="00176F09" w:rsidRDefault="00284695" w:rsidP="00AC4723">
                  <w:pPr>
                    <w:framePr w:wrap="around" w:vAnchor="text" w:hAnchor="margin" w:y="1387"/>
                    <w:spacing w:after="0" w:line="259" w:lineRule="auto"/>
                    <w:ind w:left="752" w:firstLine="0"/>
                    <w:suppressOverlap/>
                    <w:jc w:val="left"/>
                    <w:rPr>
                      <w:sz w:val="18"/>
                      <w:szCs w:val="18"/>
                    </w:rPr>
                  </w:pPr>
                  <w:r w:rsidRPr="00176F09">
                    <w:rPr>
                      <w:rFonts w:ascii="Arial" w:eastAsia="Arial" w:hAnsi="Arial" w:cs="Arial"/>
                      <w:sz w:val="18"/>
                      <w:szCs w:val="18"/>
                    </w:rPr>
                    <w:t>---</w:t>
                  </w:r>
                </w:p>
              </w:tc>
              <w:tc>
                <w:tcPr>
                  <w:tcW w:w="2238" w:type="dxa"/>
                  <w:tcBorders>
                    <w:top w:val="single" w:sz="4" w:space="0" w:color="221F1F"/>
                    <w:left w:val="nil"/>
                    <w:bottom w:val="nil"/>
                    <w:right w:val="nil"/>
                  </w:tcBorders>
                </w:tcPr>
                <w:p w14:paraId="1501C6B6" w14:textId="77777777" w:rsidR="0026097E" w:rsidRPr="00176F09" w:rsidRDefault="00284695" w:rsidP="00AC4723">
                  <w:pPr>
                    <w:framePr w:wrap="around" w:vAnchor="text" w:hAnchor="margin" w:y="1387"/>
                    <w:spacing w:after="0" w:line="259" w:lineRule="auto"/>
                    <w:ind w:left="504" w:firstLine="0"/>
                    <w:suppressOverlap/>
                    <w:jc w:val="left"/>
                    <w:rPr>
                      <w:sz w:val="18"/>
                      <w:szCs w:val="18"/>
                    </w:rPr>
                  </w:pPr>
                  <w:r w:rsidRPr="00176F09">
                    <w:rPr>
                      <w:rFonts w:ascii="Arial" w:eastAsia="Arial" w:hAnsi="Arial" w:cs="Arial"/>
                      <w:sz w:val="18"/>
                      <w:szCs w:val="18"/>
                    </w:rPr>
                    <w:t>PK</w:t>
                  </w:r>
                </w:p>
              </w:tc>
            </w:tr>
            <w:tr w:rsidR="0026097E" w14:paraId="5C16F35B" w14:textId="77777777">
              <w:trPr>
                <w:trHeight w:val="510"/>
              </w:trPr>
              <w:tc>
                <w:tcPr>
                  <w:tcW w:w="4543" w:type="dxa"/>
                  <w:tcBorders>
                    <w:top w:val="nil"/>
                    <w:left w:val="nil"/>
                    <w:bottom w:val="nil"/>
                    <w:right w:val="nil"/>
                  </w:tcBorders>
                </w:tcPr>
                <w:p w14:paraId="6F260468" w14:textId="078C6EAB" w:rsidR="0026097E" w:rsidRPr="00176F09" w:rsidRDefault="00DF6756" w:rsidP="00AC4723">
                  <w:pPr>
                    <w:framePr w:wrap="around" w:vAnchor="text" w:hAnchor="margin" w:y="1387"/>
                    <w:spacing w:after="0" w:line="259" w:lineRule="auto"/>
                    <w:ind w:left="140" w:right="803" w:hanging="140"/>
                    <w:suppressOverlap/>
                    <w:jc w:val="left"/>
                    <w:rPr>
                      <w:sz w:val="18"/>
                      <w:szCs w:val="18"/>
                    </w:rPr>
                  </w:pPr>
                  <w:r w:rsidRPr="00176F09">
                    <w:rPr>
                      <w:rFonts w:ascii="宋体" w:eastAsia="宋体" w:hAnsi="宋体" w:cs="宋体" w:hint="eastAsia"/>
                      <w:sz w:val="18"/>
                      <w:szCs w:val="18"/>
                    </w:rPr>
                    <w:t>种间推断（即动物与人之间的药代动力学和药效学差异）</w:t>
                  </w:r>
                </w:p>
              </w:tc>
              <w:tc>
                <w:tcPr>
                  <w:tcW w:w="3636" w:type="dxa"/>
                  <w:tcBorders>
                    <w:top w:val="nil"/>
                    <w:left w:val="nil"/>
                    <w:bottom w:val="nil"/>
                    <w:right w:val="nil"/>
                  </w:tcBorders>
                </w:tcPr>
                <w:p w14:paraId="2083F3A9" w14:textId="77777777" w:rsidR="0026097E" w:rsidRPr="00176F09" w:rsidRDefault="00284695" w:rsidP="00AC4723">
                  <w:pPr>
                    <w:framePr w:wrap="around" w:vAnchor="text" w:hAnchor="margin" w:y="1387"/>
                    <w:spacing w:after="0" w:line="259" w:lineRule="auto"/>
                    <w:ind w:left="741" w:firstLine="0"/>
                    <w:suppressOverlap/>
                    <w:jc w:val="left"/>
                    <w:rPr>
                      <w:sz w:val="18"/>
                      <w:szCs w:val="18"/>
                    </w:rPr>
                  </w:pPr>
                  <w:r w:rsidRPr="00176F09">
                    <w:rPr>
                      <w:rFonts w:ascii="Arial" w:eastAsia="Arial" w:hAnsi="Arial" w:cs="Arial"/>
                      <w:sz w:val="18"/>
                      <w:szCs w:val="18"/>
                    </w:rPr>
                    <w:t>F1</w:t>
                  </w:r>
                </w:p>
              </w:tc>
              <w:tc>
                <w:tcPr>
                  <w:tcW w:w="2238" w:type="dxa"/>
                  <w:tcBorders>
                    <w:top w:val="nil"/>
                    <w:left w:val="nil"/>
                    <w:bottom w:val="nil"/>
                    <w:right w:val="nil"/>
                  </w:tcBorders>
                </w:tcPr>
                <w:p w14:paraId="01274F39" w14:textId="77777777" w:rsidR="0026097E" w:rsidRPr="00176F09" w:rsidRDefault="00284695" w:rsidP="00AC4723">
                  <w:pPr>
                    <w:framePr w:wrap="around" w:vAnchor="text" w:hAnchor="margin" w:y="1387"/>
                    <w:spacing w:after="0" w:line="259" w:lineRule="auto"/>
                    <w:ind w:left="468" w:firstLine="0"/>
                    <w:suppressOverlap/>
                    <w:jc w:val="left"/>
                    <w:rPr>
                      <w:sz w:val="18"/>
                      <w:szCs w:val="18"/>
                    </w:rPr>
                  </w:pPr>
                  <w:r w:rsidRPr="00176F09">
                    <w:rPr>
                      <w:rFonts w:ascii="Arial" w:eastAsia="Arial" w:hAnsi="Arial" w:cs="Arial"/>
                      <w:sz w:val="18"/>
                      <w:szCs w:val="18"/>
                    </w:rPr>
                    <w:t>UF</w:t>
                  </w:r>
                  <w:r w:rsidRPr="00176F09">
                    <w:rPr>
                      <w:rFonts w:ascii="Arial" w:eastAsia="Arial" w:hAnsi="Arial" w:cs="Arial"/>
                      <w:sz w:val="18"/>
                      <w:szCs w:val="18"/>
                      <w:vertAlign w:val="subscript"/>
                    </w:rPr>
                    <w:t>A</w:t>
                  </w:r>
                </w:p>
              </w:tc>
            </w:tr>
            <w:tr w:rsidR="0026097E" w14:paraId="57C9ADFC" w14:textId="77777777">
              <w:trPr>
                <w:trHeight w:val="341"/>
              </w:trPr>
              <w:tc>
                <w:tcPr>
                  <w:tcW w:w="4543" w:type="dxa"/>
                  <w:tcBorders>
                    <w:top w:val="nil"/>
                    <w:left w:val="nil"/>
                    <w:bottom w:val="nil"/>
                    <w:right w:val="nil"/>
                  </w:tcBorders>
                </w:tcPr>
                <w:p w14:paraId="7782C5FE" w14:textId="24B8CA6F" w:rsidR="0026097E" w:rsidRPr="00176F09" w:rsidRDefault="00DF6756" w:rsidP="00AC4723">
                  <w:pPr>
                    <w:framePr w:wrap="around" w:vAnchor="text" w:hAnchor="margin" w:y="1387"/>
                    <w:spacing w:after="0" w:line="259" w:lineRule="auto"/>
                    <w:ind w:left="140" w:right="423" w:hanging="140"/>
                    <w:suppressOverlap/>
                    <w:jc w:val="left"/>
                    <w:rPr>
                      <w:sz w:val="18"/>
                      <w:szCs w:val="18"/>
                    </w:rPr>
                  </w:pPr>
                  <w:r w:rsidRPr="00176F09">
                    <w:rPr>
                      <w:rFonts w:ascii="宋体" w:eastAsia="宋体" w:hAnsi="宋体" w:cs="宋体" w:hint="eastAsia"/>
                      <w:sz w:val="18"/>
                      <w:szCs w:val="18"/>
                    </w:rPr>
                    <w:t>种内</w:t>
                  </w:r>
                  <w:r w:rsidRPr="00176F09">
                    <w:rPr>
                      <w:rFonts w:ascii="Arial" w:eastAsia="Arial" w:hAnsi="Arial" w:cs="Arial"/>
                      <w:sz w:val="18"/>
                      <w:szCs w:val="18"/>
                    </w:rPr>
                    <w:t>/</w:t>
                  </w:r>
                  <w:r w:rsidRPr="00176F09">
                    <w:rPr>
                      <w:rFonts w:ascii="宋体" w:eastAsia="宋体" w:hAnsi="宋体" w:cs="宋体" w:hint="eastAsia"/>
                      <w:sz w:val="18"/>
                      <w:szCs w:val="18"/>
                    </w:rPr>
                    <w:t>个体间变异性（即人类易感性变异性）</w:t>
                  </w:r>
                </w:p>
              </w:tc>
              <w:tc>
                <w:tcPr>
                  <w:tcW w:w="3636" w:type="dxa"/>
                  <w:tcBorders>
                    <w:top w:val="nil"/>
                    <w:left w:val="nil"/>
                    <w:bottom w:val="nil"/>
                    <w:right w:val="nil"/>
                  </w:tcBorders>
                </w:tcPr>
                <w:p w14:paraId="6EF2A811" w14:textId="77777777" w:rsidR="0026097E" w:rsidRPr="00176F09" w:rsidRDefault="00284695" w:rsidP="00AC4723">
                  <w:pPr>
                    <w:framePr w:wrap="around" w:vAnchor="text" w:hAnchor="margin" w:y="1387"/>
                    <w:spacing w:after="0" w:line="259" w:lineRule="auto"/>
                    <w:ind w:left="741" w:firstLine="0"/>
                    <w:suppressOverlap/>
                    <w:jc w:val="left"/>
                    <w:rPr>
                      <w:sz w:val="18"/>
                      <w:szCs w:val="18"/>
                    </w:rPr>
                  </w:pPr>
                  <w:r w:rsidRPr="00176F09">
                    <w:rPr>
                      <w:rFonts w:ascii="Arial" w:eastAsia="Arial" w:hAnsi="Arial" w:cs="Arial"/>
                      <w:sz w:val="18"/>
                      <w:szCs w:val="18"/>
                    </w:rPr>
                    <w:t>F2</w:t>
                  </w:r>
                </w:p>
              </w:tc>
              <w:tc>
                <w:tcPr>
                  <w:tcW w:w="2238" w:type="dxa"/>
                  <w:tcBorders>
                    <w:top w:val="nil"/>
                    <w:left w:val="nil"/>
                    <w:bottom w:val="nil"/>
                    <w:right w:val="nil"/>
                  </w:tcBorders>
                </w:tcPr>
                <w:p w14:paraId="6E268BAF" w14:textId="77777777" w:rsidR="0026097E" w:rsidRPr="00176F09" w:rsidRDefault="00284695" w:rsidP="00AC4723">
                  <w:pPr>
                    <w:framePr w:wrap="around" w:vAnchor="text" w:hAnchor="margin" w:y="1387"/>
                    <w:spacing w:after="0" w:line="259" w:lineRule="auto"/>
                    <w:ind w:left="465" w:firstLine="0"/>
                    <w:suppressOverlap/>
                    <w:jc w:val="left"/>
                    <w:rPr>
                      <w:sz w:val="18"/>
                      <w:szCs w:val="18"/>
                    </w:rPr>
                  </w:pPr>
                  <w:r w:rsidRPr="00176F09">
                    <w:rPr>
                      <w:rFonts w:ascii="Arial" w:eastAsia="Arial" w:hAnsi="Arial" w:cs="Arial"/>
                      <w:sz w:val="18"/>
                      <w:szCs w:val="18"/>
                    </w:rPr>
                    <w:t>UF</w:t>
                  </w:r>
                  <w:r w:rsidRPr="00176F09">
                    <w:rPr>
                      <w:rFonts w:ascii="Arial" w:eastAsia="Arial" w:hAnsi="Arial" w:cs="Arial"/>
                      <w:sz w:val="18"/>
                      <w:szCs w:val="18"/>
                      <w:vertAlign w:val="subscript"/>
                    </w:rPr>
                    <w:t>H</w:t>
                  </w:r>
                </w:p>
              </w:tc>
            </w:tr>
            <w:tr w:rsidR="0026097E" w14:paraId="629524F8" w14:textId="77777777">
              <w:trPr>
                <w:trHeight w:val="341"/>
              </w:trPr>
              <w:tc>
                <w:tcPr>
                  <w:tcW w:w="4543" w:type="dxa"/>
                  <w:tcBorders>
                    <w:top w:val="nil"/>
                    <w:left w:val="nil"/>
                    <w:bottom w:val="nil"/>
                    <w:right w:val="nil"/>
                  </w:tcBorders>
                </w:tcPr>
                <w:p w14:paraId="6F248EA9" w14:textId="7FA220D9" w:rsidR="0026097E" w:rsidRPr="00176F09" w:rsidRDefault="00DF6756" w:rsidP="00AC4723">
                  <w:pPr>
                    <w:framePr w:wrap="around" w:vAnchor="text" w:hAnchor="margin" w:y="1387"/>
                    <w:spacing w:after="0" w:line="259" w:lineRule="auto"/>
                    <w:ind w:left="140" w:right="430" w:hanging="140"/>
                    <w:suppressOverlap/>
                    <w:jc w:val="left"/>
                    <w:rPr>
                      <w:sz w:val="18"/>
                      <w:szCs w:val="18"/>
                    </w:rPr>
                  </w:pPr>
                  <w:r w:rsidRPr="00176F09">
                    <w:rPr>
                      <w:rFonts w:ascii="宋体" w:eastAsia="宋体" w:hAnsi="宋体" w:cs="宋体" w:hint="eastAsia"/>
                      <w:sz w:val="18"/>
                      <w:szCs w:val="18"/>
                    </w:rPr>
                    <w:t>暴露时间（即从短期到长期给药的推断）</w:t>
                  </w:r>
                </w:p>
              </w:tc>
              <w:tc>
                <w:tcPr>
                  <w:tcW w:w="3636" w:type="dxa"/>
                  <w:tcBorders>
                    <w:top w:val="nil"/>
                    <w:left w:val="nil"/>
                    <w:bottom w:val="nil"/>
                    <w:right w:val="nil"/>
                  </w:tcBorders>
                </w:tcPr>
                <w:p w14:paraId="6881DBBC" w14:textId="77777777" w:rsidR="0026097E" w:rsidRPr="00176F09" w:rsidRDefault="00284695" w:rsidP="00AC4723">
                  <w:pPr>
                    <w:framePr w:wrap="around" w:vAnchor="text" w:hAnchor="margin" w:y="1387"/>
                    <w:spacing w:after="0" w:line="259" w:lineRule="auto"/>
                    <w:ind w:left="741" w:firstLine="0"/>
                    <w:suppressOverlap/>
                    <w:jc w:val="left"/>
                    <w:rPr>
                      <w:sz w:val="18"/>
                      <w:szCs w:val="18"/>
                    </w:rPr>
                  </w:pPr>
                  <w:r w:rsidRPr="00176F09">
                    <w:rPr>
                      <w:rFonts w:ascii="Arial" w:eastAsia="Arial" w:hAnsi="Arial" w:cs="Arial"/>
                      <w:sz w:val="18"/>
                      <w:szCs w:val="18"/>
                    </w:rPr>
                    <w:t>F3</w:t>
                  </w:r>
                </w:p>
              </w:tc>
              <w:tc>
                <w:tcPr>
                  <w:tcW w:w="2238" w:type="dxa"/>
                  <w:tcBorders>
                    <w:top w:val="nil"/>
                    <w:left w:val="nil"/>
                    <w:bottom w:val="nil"/>
                    <w:right w:val="nil"/>
                  </w:tcBorders>
                </w:tcPr>
                <w:p w14:paraId="58D79C54" w14:textId="77777777" w:rsidR="0026097E" w:rsidRPr="00176F09" w:rsidRDefault="00284695" w:rsidP="00AC4723">
                  <w:pPr>
                    <w:framePr w:wrap="around" w:vAnchor="text" w:hAnchor="margin" w:y="1387"/>
                    <w:spacing w:after="0" w:line="259" w:lineRule="auto"/>
                    <w:ind w:left="468" w:firstLine="0"/>
                    <w:suppressOverlap/>
                    <w:jc w:val="left"/>
                    <w:rPr>
                      <w:sz w:val="18"/>
                      <w:szCs w:val="18"/>
                    </w:rPr>
                  </w:pPr>
                  <w:r w:rsidRPr="00176F09">
                    <w:rPr>
                      <w:rFonts w:ascii="Arial" w:eastAsia="Arial" w:hAnsi="Arial" w:cs="Arial"/>
                      <w:sz w:val="18"/>
                      <w:szCs w:val="18"/>
                    </w:rPr>
                    <w:t>UF</w:t>
                  </w:r>
                  <w:r w:rsidRPr="00176F09">
                    <w:rPr>
                      <w:rFonts w:ascii="Arial" w:eastAsia="Arial" w:hAnsi="Arial" w:cs="Arial"/>
                      <w:sz w:val="18"/>
                      <w:szCs w:val="18"/>
                      <w:vertAlign w:val="subscript"/>
                    </w:rPr>
                    <w:t>S</w:t>
                  </w:r>
                </w:p>
              </w:tc>
            </w:tr>
            <w:tr w:rsidR="0026097E" w14:paraId="5599D16D" w14:textId="77777777">
              <w:trPr>
                <w:trHeight w:val="171"/>
              </w:trPr>
              <w:tc>
                <w:tcPr>
                  <w:tcW w:w="4543" w:type="dxa"/>
                  <w:tcBorders>
                    <w:top w:val="nil"/>
                    <w:left w:val="nil"/>
                    <w:bottom w:val="nil"/>
                    <w:right w:val="nil"/>
                  </w:tcBorders>
                </w:tcPr>
                <w:p w14:paraId="0EB831DC" w14:textId="5426A33F" w:rsidR="0026097E" w:rsidRPr="00176F09" w:rsidRDefault="00DF6756" w:rsidP="00AC4723">
                  <w:pPr>
                    <w:framePr w:wrap="around" w:vAnchor="text" w:hAnchor="margin" w:y="1387"/>
                    <w:spacing w:after="0" w:line="259" w:lineRule="auto"/>
                    <w:ind w:firstLine="0"/>
                    <w:suppressOverlap/>
                    <w:jc w:val="left"/>
                    <w:rPr>
                      <w:sz w:val="18"/>
                      <w:szCs w:val="18"/>
                    </w:rPr>
                  </w:pPr>
                  <w:r w:rsidRPr="00176F09">
                    <w:rPr>
                      <w:rFonts w:ascii="宋体" w:eastAsia="宋体" w:hAnsi="宋体" w:cs="宋体" w:hint="eastAsia"/>
                      <w:sz w:val="18"/>
                      <w:szCs w:val="18"/>
                    </w:rPr>
                    <w:t>严重程度</w:t>
                  </w:r>
                </w:p>
              </w:tc>
              <w:tc>
                <w:tcPr>
                  <w:tcW w:w="3636" w:type="dxa"/>
                  <w:tcBorders>
                    <w:top w:val="nil"/>
                    <w:left w:val="nil"/>
                    <w:bottom w:val="nil"/>
                    <w:right w:val="nil"/>
                  </w:tcBorders>
                </w:tcPr>
                <w:p w14:paraId="4B5D90C0" w14:textId="77777777" w:rsidR="0026097E" w:rsidRPr="00176F09" w:rsidRDefault="00284695" w:rsidP="00AC4723">
                  <w:pPr>
                    <w:framePr w:wrap="around" w:vAnchor="text" w:hAnchor="margin" w:y="1387"/>
                    <w:spacing w:after="0" w:line="259" w:lineRule="auto"/>
                    <w:ind w:left="741" w:firstLine="0"/>
                    <w:suppressOverlap/>
                    <w:jc w:val="left"/>
                    <w:rPr>
                      <w:sz w:val="18"/>
                      <w:szCs w:val="18"/>
                    </w:rPr>
                  </w:pPr>
                  <w:r w:rsidRPr="00176F09">
                    <w:rPr>
                      <w:rFonts w:ascii="Arial" w:eastAsia="Arial" w:hAnsi="Arial" w:cs="Arial"/>
                      <w:sz w:val="18"/>
                      <w:szCs w:val="18"/>
                    </w:rPr>
                    <w:t>F4</w:t>
                  </w:r>
                </w:p>
              </w:tc>
              <w:tc>
                <w:tcPr>
                  <w:tcW w:w="2238" w:type="dxa"/>
                  <w:tcBorders>
                    <w:top w:val="nil"/>
                    <w:left w:val="nil"/>
                    <w:bottom w:val="nil"/>
                    <w:right w:val="nil"/>
                  </w:tcBorders>
                </w:tcPr>
                <w:p w14:paraId="5F86E8B2" w14:textId="77777777" w:rsidR="0026097E" w:rsidRPr="00176F09" w:rsidRDefault="00284695" w:rsidP="00AC4723">
                  <w:pPr>
                    <w:framePr w:wrap="around" w:vAnchor="text" w:hAnchor="margin" w:y="1387"/>
                    <w:spacing w:after="0" w:line="259" w:lineRule="auto"/>
                    <w:ind w:left="528" w:firstLine="0"/>
                    <w:suppressOverlap/>
                    <w:jc w:val="left"/>
                    <w:rPr>
                      <w:sz w:val="18"/>
                      <w:szCs w:val="18"/>
                    </w:rPr>
                  </w:pPr>
                  <w:r w:rsidRPr="00176F09">
                    <w:rPr>
                      <w:rFonts w:ascii="Arial" w:eastAsia="Arial" w:hAnsi="Arial" w:cs="Arial"/>
                      <w:sz w:val="18"/>
                      <w:szCs w:val="18"/>
                    </w:rPr>
                    <w:t>---</w:t>
                  </w:r>
                </w:p>
              </w:tc>
            </w:tr>
            <w:tr w:rsidR="0026097E" w14:paraId="101C9C7C" w14:textId="77777777">
              <w:trPr>
                <w:trHeight w:val="181"/>
              </w:trPr>
              <w:tc>
                <w:tcPr>
                  <w:tcW w:w="4543" w:type="dxa"/>
                  <w:tcBorders>
                    <w:top w:val="nil"/>
                    <w:left w:val="nil"/>
                    <w:bottom w:val="nil"/>
                    <w:right w:val="nil"/>
                  </w:tcBorders>
                </w:tcPr>
                <w:p w14:paraId="109E097F" w14:textId="77777777" w:rsidR="0026097E" w:rsidRPr="00176F09" w:rsidRDefault="00DF6756" w:rsidP="00AC4723">
                  <w:pPr>
                    <w:framePr w:wrap="around" w:vAnchor="text" w:hAnchor="margin" w:y="1387"/>
                    <w:spacing w:after="0" w:line="259" w:lineRule="auto"/>
                    <w:ind w:firstLine="0"/>
                    <w:suppressOverlap/>
                    <w:jc w:val="left"/>
                    <w:rPr>
                      <w:rFonts w:ascii="宋体" w:eastAsia="宋体" w:hAnsi="宋体" w:cs="宋体"/>
                      <w:sz w:val="18"/>
                      <w:szCs w:val="18"/>
                    </w:rPr>
                  </w:pPr>
                  <w:r w:rsidRPr="00176F09">
                    <w:rPr>
                      <w:rFonts w:ascii="Arial" w:eastAsia="Arial" w:hAnsi="Arial" w:cs="Arial"/>
                      <w:sz w:val="18"/>
                      <w:szCs w:val="18"/>
                    </w:rPr>
                    <w:t>LO</w:t>
                  </w:r>
                  <w:r w:rsidRPr="00176F09">
                    <w:rPr>
                      <w:rFonts w:ascii="宋体" w:eastAsia="宋体" w:hAnsi="宋体" w:cs="宋体" w:hint="eastAsia"/>
                      <w:sz w:val="18"/>
                      <w:szCs w:val="18"/>
                    </w:rPr>
                    <w:t>（</w:t>
                  </w:r>
                  <w:r w:rsidRPr="00176F09">
                    <w:rPr>
                      <w:rFonts w:ascii="Arial" w:eastAsia="Arial" w:hAnsi="Arial" w:cs="Arial"/>
                      <w:sz w:val="18"/>
                      <w:szCs w:val="18"/>
                    </w:rPr>
                    <w:t>A</w:t>
                  </w:r>
                  <w:r w:rsidRPr="00176F09">
                    <w:rPr>
                      <w:rFonts w:ascii="宋体" w:eastAsia="宋体" w:hAnsi="宋体" w:cs="宋体" w:hint="eastAsia"/>
                      <w:sz w:val="18"/>
                      <w:szCs w:val="18"/>
                    </w:rPr>
                    <w:t>）</w:t>
                  </w:r>
                  <w:r w:rsidRPr="00176F09">
                    <w:rPr>
                      <w:rFonts w:ascii="Arial" w:eastAsia="Arial" w:hAnsi="Arial" w:cs="Arial"/>
                      <w:sz w:val="18"/>
                      <w:szCs w:val="18"/>
                    </w:rPr>
                    <w:t>EL</w:t>
                  </w:r>
                  <w:r w:rsidRPr="00176F09">
                    <w:rPr>
                      <w:rFonts w:ascii="宋体" w:eastAsia="宋体" w:hAnsi="宋体" w:cs="宋体" w:hint="eastAsia"/>
                      <w:sz w:val="18"/>
                      <w:szCs w:val="18"/>
                    </w:rPr>
                    <w:t>至</w:t>
                  </w:r>
                  <w:r w:rsidRPr="00176F09">
                    <w:rPr>
                      <w:rFonts w:ascii="Arial" w:eastAsia="Arial" w:hAnsi="Arial" w:cs="Arial"/>
                      <w:sz w:val="18"/>
                      <w:szCs w:val="18"/>
                    </w:rPr>
                    <w:t>NO</w:t>
                  </w:r>
                  <w:r w:rsidRPr="00176F09">
                    <w:rPr>
                      <w:rFonts w:ascii="宋体" w:eastAsia="宋体" w:hAnsi="宋体" w:cs="宋体" w:hint="eastAsia"/>
                      <w:sz w:val="18"/>
                      <w:szCs w:val="18"/>
                    </w:rPr>
                    <w:t>（</w:t>
                  </w:r>
                  <w:r w:rsidRPr="00176F09">
                    <w:rPr>
                      <w:rFonts w:ascii="Arial" w:eastAsia="Arial" w:hAnsi="Arial" w:cs="Arial"/>
                      <w:sz w:val="18"/>
                      <w:szCs w:val="18"/>
                    </w:rPr>
                    <w:t>A</w:t>
                  </w:r>
                  <w:r w:rsidRPr="00176F09">
                    <w:rPr>
                      <w:rFonts w:ascii="宋体" w:eastAsia="宋体" w:hAnsi="宋体" w:cs="宋体" w:hint="eastAsia"/>
                      <w:sz w:val="18"/>
                      <w:szCs w:val="18"/>
                    </w:rPr>
                    <w:t>）</w:t>
                  </w:r>
                  <w:r w:rsidRPr="00176F09">
                    <w:rPr>
                      <w:rFonts w:ascii="Arial" w:eastAsia="Arial" w:hAnsi="Arial" w:cs="Arial"/>
                      <w:sz w:val="18"/>
                      <w:szCs w:val="18"/>
                    </w:rPr>
                    <w:t>EL</w:t>
                  </w:r>
                  <w:r w:rsidRPr="00176F09">
                    <w:rPr>
                      <w:rFonts w:ascii="宋体" w:eastAsia="宋体" w:hAnsi="宋体" w:cs="宋体" w:hint="eastAsia"/>
                      <w:sz w:val="18"/>
                      <w:szCs w:val="18"/>
                    </w:rPr>
                    <w:t>外推</w:t>
                  </w:r>
                </w:p>
                <w:p w14:paraId="0904177F" w14:textId="242A7271" w:rsidR="005F06FF" w:rsidRPr="00176F09" w:rsidRDefault="005F06FF" w:rsidP="00AC4723">
                  <w:pPr>
                    <w:framePr w:wrap="around" w:vAnchor="text" w:hAnchor="margin" w:y="1387"/>
                    <w:spacing w:after="0" w:line="259" w:lineRule="auto"/>
                    <w:ind w:firstLine="0"/>
                    <w:suppressOverlap/>
                    <w:jc w:val="left"/>
                    <w:rPr>
                      <w:sz w:val="18"/>
                      <w:szCs w:val="18"/>
                    </w:rPr>
                  </w:pPr>
                  <w:r w:rsidRPr="00176F09">
                    <w:rPr>
                      <w:rFonts w:ascii="宋体" w:eastAsia="宋体" w:hAnsi="宋体" w:cs="宋体" w:hint="eastAsia"/>
                      <w:sz w:val="18"/>
                      <w:szCs w:val="18"/>
                    </w:rPr>
                    <w:t>最低不良反应到无不良反应的外推</w:t>
                  </w:r>
                </w:p>
              </w:tc>
              <w:tc>
                <w:tcPr>
                  <w:tcW w:w="3636" w:type="dxa"/>
                  <w:tcBorders>
                    <w:top w:val="nil"/>
                    <w:left w:val="nil"/>
                    <w:bottom w:val="nil"/>
                    <w:right w:val="nil"/>
                  </w:tcBorders>
                </w:tcPr>
                <w:p w14:paraId="7D060EE4" w14:textId="77777777" w:rsidR="0026097E" w:rsidRPr="00176F09" w:rsidRDefault="00284695" w:rsidP="00AC4723">
                  <w:pPr>
                    <w:framePr w:wrap="around" w:vAnchor="text" w:hAnchor="margin" w:y="1387"/>
                    <w:spacing w:after="0" w:line="259" w:lineRule="auto"/>
                    <w:ind w:left="741" w:firstLine="0"/>
                    <w:suppressOverlap/>
                    <w:jc w:val="left"/>
                    <w:rPr>
                      <w:sz w:val="18"/>
                      <w:szCs w:val="18"/>
                    </w:rPr>
                  </w:pPr>
                  <w:r w:rsidRPr="00176F09">
                    <w:rPr>
                      <w:rFonts w:ascii="Arial" w:eastAsia="Arial" w:hAnsi="Arial" w:cs="Arial"/>
                      <w:sz w:val="18"/>
                      <w:szCs w:val="18"/>
                    </w:rPr>
                    <w:t>F5</w:t>
                  </w:r>
                </w:p>
              </w:tc>
              <w:tc>
                <w:tcPr>
                  <w:tcW w:w="2238" w:type="dxa"/>
                  <w:tcBorders>
                    <w:top w:val="nil"/>
                    <w:left w:val="nil"/>
                    <w:bottom w:val="nil"/>
                    <w:right w:val="nil"/>
                  </w:tcBorders>
                </w:tcPr>
                <w:p w14:paraId="6C764406" w14:textId="77777777" w:rsidR="0026097E" w:rsidRPr="00176F09" w:rsidRDefault="00284695" w:rsidP="00AC4723">
                  <w:pPr>
                    <w:framePr w:wrap="around" w:vAnchor="text" w:hAnchor="margin" w:y="1387"/>
                    <w:spacing w:after="0" w:line="259" w:lineRule="auto"/>
                    <w:ind w:left="474" w:firstLine="0"/>
                    <w:suppressOverlap/>
                    <w:jc w:val="left"/>
                    <w:rPr>
                      <w:sz w:val="18"/>
                      <w:szCs w:val="18"/>
                    </w:rPr>
                  </w:pPr>
                  <w:r w:rsidRPr="00176F09">
                    <w:rPr>
                      <w:rFonts w:ascii="Arial" w:eastAsia="Arial" w:hAnsi="Arial" w:cs="Arial"/>
                      <w:sz w:val="18"/>
                      <w:szCs w:val="18"/>
                    </w:rPr>
                    <w:t>UF</w:t>
                  </w:r>
                  <w:r w:rsidRPr="00176F09">
                    <w:rPr>
                      <w:rFonts w:ascii="Arial" w:eastAsia="Arial" w:hAnsi="Arial" w:cs="Arial"/>
                      <w:sz w:val="18"/>
                      <w:szCs w:val="18"/>
                      <w:vertAlign w:val="subscript"/>
                    </w:rPr>
                    <w:t>L</w:t>
                  </w:r>
                </w:p>
              </w:tc>
            </w:tr>
            <w:tr w:rsidR="0026097E" w14:paraId="33EFA53E" w14:textId="77777777">
              <w:trPr>
                <w:trHeight w:val="171"/>
              </w:trPr>
              <w:tc>
                <w:tcPr>
                  <w:tcW w:w="4543" w:type="dxa"/>
                  <w:tcBorders>
                    <w:top w:val="nil"/>
                    <w:left w:val="nil"/>
                    <w:bottom w:val="nil"/>
                    <w:right w:val="nil"/>
                  </w:tcBorders>
                </w:tcPr>
                <w:p w14:paraId="34ABEFBA" w14:textId="2F4A37D1" w:rsidR="0026097E" w:rsidRPr="00176F09" w:rsidRDefault="00DF6756" w:rsidP="00AC4723">
                  <w:pPr>
                    <w:framePr w:wrap="around" w:vAnchor="text" w:hAnchor="margin" w:y="1387"/>
                    <w:spacing w:after="0" w:line="259" w:lineRule="auto"/>
                    <w:ind w:firstLine="0"/>
                    <w:suppressOverlap/>
                    <w:jc w:val="left"/>
                    <w:rPr>
                      <w:sz w:val="18"/>
                      <w:szCs w:val="18"/>
                    </w:rPr>
                  </w:pPr>
                  <w:r w:rsidRPr="00176F09">
                    <w:rPr>
                      <w:rFonts w:ascii="宋体" w:eastAsia="宋体" w:hAnsi="宋体" w:cs="宋体" w:hint="eastAsia"/>
                      <w:sz w:val="18"/>
                      <w:szCs w:val="18"/>
                    </w:rPr>
                    <w:t>数据库完整性</w:t>
                  </w:r>
                </w:p>
              </w:tc>
              <w:tc>
                <w:tcPr>
                  <w:tcW w:w="3636" w:type="dxa"/>
                  <w:tcBorders>
                    <w:top w:val="nil"/>
                    <w:left w:val="nil"/>
                    <w:bottom w:val="nil"/>
                    <w:right w:val="nil"/>
                  </w:tcBorders>
                </w:tcPr>
                <w:p w14:paraId="431892A1" w14:textId="77777777" w:rsidR="0026097E" w:rsidRPr="00176F09" w:rsidRDefault="00284695" w:rsidP="00AC4723">
                  <w:pPr>
                    <w:framePr w:wrap="around" w:vAnchor="text" w:hAnchor="margin" w:y="1387"/>
                    <w:spacing w:after="0" w:line="259" w:lineRule="auto"/>
                    <w:ind w:left="753" w:firstLine="0"/>
                    <w:suppressOverlap/>
                    <w:jc w:val="left"/>
                    <w:rPr>
                      <w:sz w:val="18"/>
                      <w:szCs w:val="18"/>
                    </w:rPr>
                  </w:pPr>
                  <w:r w:rsidRPr="00176F09">
                    <w:rPr>
                      <w:rFonts w:ascii="Arial" w:eastAsia="Arial" w:hAnsi="Arial" w:cs="Arial"/>
                      <w:sz w:val="18"/>
                      <w:szCs w:val="18"/>
                    </w:rPr>
                    <w:t>---</w:t>
                  </w:r>
                </w:p>
              </w:tc>
              <w:tc>
                <w:tcPr>
                  <w:tcW w:w="2238" w:type="dxa"/>
                  <w:tcBorders>
                    <w:top w:val="nil"/>
                    <w:left w:val="nil"/>
                    <w:bottom w:val="nil"/>
                    <w:right w:val="nil"/>
                  </w:tcBorders>
                </w:tcPr>
                <w:p w14:paraId="20BDFF16" w14:textId="77777777" w:rsidR="0026097E" w:rsidRPr="00176F09" w:rsidRDefault="00284695" w:rsidP="00AC4723">
                  <w:pPr>
                    <w:framePr w:wrap="around" w:vAnchor="text" w:hAnchor="margin" w:y="1387"/>
                    <w:spacing w:after="0" w:line="259" w:lineRule="auto"/>
                    <w:ind w:left="465" w:firstLine="0"/>
                    <w:suppressOverlap/>
                    <w:jc w:val="left"/>
                    <w:rPr>
                      <w:sz w:val="18"/>
                      <w:szCs w:val="18"/>
                    </w:rPr>
                  </w:pPr>
                  <w:r w:rsidRPr="00176F09">
                    <w:rPr>
                      <w:rFonts w:ascii="Arial" w:eastAsia="Arial" w:hAnsi="Arial" w:cs="Arial"/>
                      <w:sz w:val="18"/>
                      <w:szCs w:val="18"/>
                    </w:rPr>
                    <w:t>UF</w:t>
                  </w:r>
                  <w:r w:rsidRPr="00176F09">
                    <w:rPr>
                      <w:rFonts w:ascii="Arial" w:eastAsia="Arial" w:hAnsi="Arial" w:cs="Arial"/>
                      <w:sz w:val="18"/>
                      <w:szCs w:val="18"/>
                      <w:vertAlign w:val="subscript"/>
                    </w:rPr>
                    <w:t>D</w:t>
                  </w:r>
                </w:p>
              </w:tc>
            </w:tr>
            <w:tr w:rsidR="0026097E" w14:paraId="31955B52" w14:textId="77777777">
              <w:trPr>
                <w:trHeight w:val="161"/>
              </w:trPr>
              <w:tc>
                <w:tcPr>
                  <w:tcW w:w="4543" w:type="dxa"/>
                  <w:tcBorders>
                    <w:top w:val="nil"/>
                    <w:left w:val="nil"/>
                    <w:bottom w:val="nil"/>
                    <w:right w:val="nil"/>
                  </w:tcBorders>
                </w:tcPr>
                <w:p w14:paraId="0BA3027C" w14:textId="69C22977" w:rsidR="0026097E" w:rsidRPr="00176F09" w:rsidRDefault="00DF6756" w:rsidP="00AC4723">
                  <w:pPr>
                    <w:framePr w:wrap="around" w:vAnchor="text" w:hAnchor="margin" w:y="1387"/>
                    <w:spacing w:after="0" w:line="259" w:lineRule="auto"/>
                    <w:ind w:firstLine="0"/>
                    <w:suppressOverlap/>
                    <w:jc w:val="left"/>
                    <w:rPr>
                      <w:sz w:val="18"/>
                      <w:szCs w:val="18"/>
                    </w:rPr>
                  </w:pPr>
                  <w:r w:rsidRPr="00176F09">
                    <w:rPr>
                      <w:rFonts w:ascii="宋体" w:eastAsia="宋体" w:hAnsi="宋体" w:cs="宋体" w:hint="eastAsia"/>
                      <w:sz w:val="18"/>
                      <w:szCs w:val="18"/>
                    </w:rPr>
                    <w:t>修正因子</w:t>
                  </w:r>
                </w:p>
              </w:tc>
              <w:tc>
                <w:tcPr>
                  <w:tcW w:w="3636" w:type="dxa"/>
                  <w:tcBorders>
                    <w:top w:val="nil"/>
                    <w:left w:val="nil"/>
                    <w:bottom w:val="nil"/>
                    <w:right w:val="nil"/>
                  </w:tcBorders>
                </w:tcPr>
                <w:p w14:paraId="07A3030D" w14:textId="77777777" w:rsidR="0026097E" w:rsidRPr="00176F09" w:rsidRDefault="00284695" w:rsidP="00AC4723">
                  <w:pPr>
                    <w:framePr w:wrap="around" w:vAnchor="text" w:hAnchor="margin" w:y="1387"/>
                    <w:spacing w:after="0" w:line="259" w:lineRule="auto"/>
                    <w:ind w:left="753" w:firstLine="0"/>
                    <w:suppressOverlap/>
                    <w:jc w:val="left"/>
                    <w:rPr>
                      <w:sz w:val="18"/>
                      <w:szCs w:val="18"/>
                    </w:rPr>
                  </w:pPr>
                  <w:r w:rsidRPr="00176F09">
                    <w:rPr>
                      <w:rFonts w:ascii="Arial" w:eastAsia="Arial" w:hAnsi="Arial" w:cs="Arial"/>
                      <w:sz w:val="18"/>
                      <w:szCs w:val="18"/>
                    </w:rPr>
                    <w:t>---</w:t>
                  </w:r>
                </w:p>
              </w:tc>
              <w:tc>
                <w:tcPr>
                  <w:tcW w:w="2238" w:type="dxa"/>
                  <w:tcBorders>
                    <w:top w:val="nil"/>
                    <w:left w:val="nil"/>
                    <w:bottom w:val="nil"/>
                    <w:right w:val="nil"/>
                  </w:tcBorders>
                </w:tcPr>
                <w:p w14:paraId="13B8BF73" w14:textId="77777777" w:rsidR="0026097E" w:rsidRPr="00176F09" w:rsidRDefault="00284695" w:rsidP="00AC4723">
                  <w:pPr>
                    <w:framePr w:wrap="around" w:vAnchor="text" w:hAnchor="margin" w:y="1387"/>
                    <w:spacing w:after="0" w:line="259" w:lineRule="auto"/>
                    <w:ind w:left="497" w:firstLine="0"/>
                    <w:suppressOverlap/>
                    <w:jc w:val="left"/>
                    <w:rPr>
                      <w:sz w:val="18"/>
                      <w:szCs w:val="18"/>
                    </w:rPr>
                  </w:pPr>
                  <w:r w:rsidRPr="00176F09">
                    <w:rPr>
                      <w:rFonts w:ascii="Arial" w:eastAsia="Arial" w:hAnsi="Arial" w:cs="Arial"/>
                      <w:sz w:val="18"/>
                      <w:szCs w:val="18"/>
                    </w:rPr>
                    <w:t>MF</w:t>
                  </w:r>
                </w:p>
              </w:tc>
            </w:tr>
            <w:tr w:rsidR="0026097E" w14:paraId="51FA6869" w14:textId="77777777">
              <w:trPr>
                <w:trHeight w:val="191"/>
              </w:trPr>
              <w:tc>
                <w:tcPr>
                  <w:tcW w:w="4543" w:type="dxa"/>
                  <w:tcBorders>
                    <w:top w:val="nil"/>
                    <w:left w:val="nil"/>
                    <w:bottom w:val="single" w:sz="8" w:space="0" w:color="221F1F"/>
                    <w:right w:val="nil"/>
                  </w:tcBorders>
                </w:tcPr>
                <w:p w14:paraId="49DD29A3" w14:textId="718272C6" w:rsidR="0026097E" w:rsidRPr="00176F09" w:rsidRDefault="00DF6756" w:rsidP="00AC4723">
                  <w:pPr>
                    <w:framePr w:wrap="around" w:vAnchor="text" w:hAnchor="margin" w:y="1387"/>
                    <w:spacing w:after="0" w:line="259" w:lineRule="auto"/>
                    <w:ind w:firstLine="0"/>
                    <w:suppressOverlap/>
                    <w:jc w:val="left"/>
                    <w:rPr>
                      <w:sz w:val="18"/>
                      <w:szCs w:val="18"/>
                    </w:rPr>
                  </w:pPr>
                  <w:r w:rsidRPr="00176F09">
                    <w:rPr>
                      <w:rFonts w:ascii="宋体" w:eastAsia="宋体" w:hAnsi="宋体" w:cs="宋体" w:hint="eastAsia"/>
                      <w:sz w:val="18"/>
                      <w:szCs w:val="18"/>
                    </w:rPr>
                    <w:t>复合调整因子</w:t>
                  </w:r>
                </w:p>
              </w:tc>
              <w:tc>
                <w:tcPr>
                  <w:tcW w:w="3636" w:type="dxa"/>
                  <w:tcBorders>
                    <w:top w:val="nil"/>
                    <w:left w:val="nil"/>
                    <w:bottom w:val="single" w:sz="8" w:space="0" w:color="221F1F"/>
                    <w:right w:val="nil"/>
                  </w:tcBorders>
                </w:tcPr>
                <w:p w14:paraId="44932BAE" w14:textId="77777777" w:rsidR="0026097E" w:rsidRPr="00176F09" w:rsidRDefault="00284695" w:rsidP="00AC4723">
                  <w:pPr>
                    <w:framePr w:wrap="around" w:vAnchor="text" w:hAnchor="margin" w:y="1387"/>
                    <w:spacing w:after="0" w:line="259" w:lineRule="auto"/>
                    <w:ind w:left="753" w:firstLine="0"/>
                    <w:suppressOverlap/>
                    <w:jc w:val="left"/>
                    <w:rPr>
                      <w:sz w:val="18"/>
                      <w:szCs w:val="18"/>
                    </w:rPr>
                  </w:pPr>
                  <w:r w:rsidRPr="00176F09">
                    <w:rPr>
                      <w:rFonts w:ascii="Arial" w:eastAsia="Arial" w:hAnsi="Arial" w:cs="Arial"/>
                      <w:sz w:val="18"/>
                      <w:szCs w:val="18"/>
                    </w:rPr>
                    <w:t>---</w:t>
                  </w:r>
                </w:p>
              </w:tc>
              <w:tc>
                <w:tcPr>
                  <w:tcW w:w="2238" w:type="dxa"/>
                  <w:tcBorders>
                    <w:top w:val="nil"/>
                    <w:left w:val="nil"/>
                    <w:bottom w:val="single" w:sz="8" w:space="0" w:color="221F1F"/>
                    <w:right w:val="nil"/>
                  </w:tcBorders>
                </w:tcPr>
                <w:p w14:paraId="5CFF8767" w14:textId="77777777" w:rsidR="0026097E" w:rsidRPr="00176F09" w:rsidRDefault="00284695" w:rsidP="00AC4723">
                  <w:pPr>
                    <w:framePr w:wrap="around" w:vAnchor="text" w:hAnchor="margin" w:y="1387"/>
                    <w:spacing w:after="0" w:line="259" w:lineRule="auto"/>
                    <w:ind w:left="465" w:firstLine="0"/>
                    <w:suppressOverlap/>
                    <w:jc w:val="left"/>
                    <w:rPr>
                      <w:sz w:val="18"/>
                      <w:szCs w:val="18"/>
                    </w:rPr>
                  </w:pPr>
                  <w:r w:rsidRPr="00176F09">
                    <w:rPr>
                      <w:rFonts w:ascii="Arial" w:eastAsia="Arial" w:hAnsi="Arial" w:cs="Arial"/>
                      <w:sz w:val="18"/>
                      <w:szCs w:val="18"/>
                    </w:rPr>
                    <w:t>UF</w:t>
                  </w:r>
                  <w:r w:rsidRPr="00176F09">
                    <w:rPr>
                      <w:rFonts w:ascii="Arial" w:eastAsia="Arial" w:hAnsi="Arial" w:cs="Arial"/>
                      <w:sz w:val="18"/>
                      <w:szCs w:val="18"/>
                      <w:vertAlign w:val="subscript"/>
                    </w:rPr>
                    <w:t>C</w:t>
                  </w:r>
                </w:p>
              </w:tc>
            </w:tr>
          </w:tbl>
          <w:p w14:paraId="0E8476DD" w14:textId="77777777" w:rsidR="0026097E" w:rsidRDefault="0026097E">
            <w:pPr>
              <w:spacing w:after="160" w:line="259" w:lineRule="auto"/>
              <w:ind w:firstLine="0"/>
              <w:jc w:val="left"/>
            </w:pPr>
          </w:p>
        </w:tc>
      </w:tr>
    </w:tbl>
    <w:p w14:paraId="037AB770" w14:textId="459B2FC6" w:rsidR="0026097E" w:rsidRDefault="00873522" w:rsidP="00873522">
      <w:pPr>
        <w:numPr>
          <w:ilvl w:val="3"/>
          <w:numId w:val="4"/>
        </w:numPr>
        <w:ind w:left="0"/>
      </w:pPr>
      <w:r w:rsidRPr="00873522">
        <w:rPr>
          <w:rFonts w:ascii="宋体" w:eastAsia="宋体" w:hAnsi="宋体" w:cs="宋体" w:hint="eastAsia"/>
        </w:rPr>
        <w:t>其他肠胃外途径（例如皮下，肌肉内）可能无法提供与静脉内途径相同的暴露。</w:t>
      </w:r>
      <w:r w:rsidRPr="00873522">
        <w:t xml:space="preserve"> </w:t>
      </w:r>
      <w:r w:rsidRPr="00873522">
        <w:rPr>
          <w:rFonts w:ascii="宋体" w:eastAsia="宋体" w:hAnsi="宋体" w:cs="宋体" w:hint="eastAsia"/>
        </w:rPr>
        <w:t>对于</w:t>
      </w:r>
      <w:r w:rsidRPr="00873522">
        <w:t>HBEL</w:t>
      </w:r>
      <w:r w:rsidR="005F06FF" w:rsidRPr="005F06FF">
        <w:rPr>
          <w:rFonts w:ascii="宋体" w:eastAsia="宋体" w:hAnsi="宋体" w:cs="宋体" w:hint="eastAsia"/>
          <w:vertAlign w:val="subscript"/>
        </w:rPr>
        <w:t>静脉（I</w:t>
      </w:r>
      <w:r w:rsidR="005F06FF" w:rsidRPr="005F06FF">
        <w:rPr>
          <w:rFonts w:ascii="宋体" w:eastAsia="宋体" w:hAnsi="宋体" w:cs="宋体"/>
          <w:vertAlign w:val="subscript"/>
        </w:rPr>
        <w:t>V</w:t>
      </w:r>
      <w:r w:rsidR="005F06FF" w:rsidRPr="005F06FF">
        <w:rPr>
          <w:rFonts w:ascii="宋体" w:eastAsia="宋体" w:hAnsi="宋体" w:cs="宋体" w:hint="eastAsia"/>
          <w:vertAlign w:val="subscript"/>
        </w:rPr>
        <w:t>）</w:t>
      </w:r>
      <w:r w:rsidRPr="00873522">
        <w:rPr>
          <w:rFonts w:ascii="宋体" w:eastAsia="宋体" w:hAnsi="宋体" w:cs="宋体" w:hint="eastAsia"/>
        </w:rPr>
        <w:t>，应提供与</w:t>
      </w:r>
      <w:r w:rsidRPr="00873522">
        <w:t>IV</w:t>
      </w:r>
      <w:r w:rsidRPr="00873522">
        <w:rPr>
          <w:rFonts w:ascii="宋体" w:eastAsia="宋体" w:hAnsi="宋体" w:cs="宋体" w:hint="eastAsia"/>
        </w:rPr>
        <w:t>相关的其他途径的生物利用度（即绝对生物利用度）</w:t>
      </w:r>
      <w:r w:rsidR="00284695">
        <w:t>.</w:t>
      </w:r>
    </w:p>
    <w:p w14:paraId="15DBF4D8" w14:textId="46BDCA8F" w:rsidR="0026097E" w:rsidRDefault="00873522">
      <w:pPr>
        <w:ind w:left="-15" w:firstLine="0"/>
      </w:pPr>
      <w:r w:rsidRPr="00873522">
        <w:rPr>
          <w:rFonts w:ascii="宋体" w:eastAsia="宋体" w:hAnsi="宋体" w:cs="宋体" w:hint="eastAsia"/>
        </w:rPr>
        <w:t>如果评估的人群将通过其他途径接触，则应确定</w:t>
      </w:r>
      <w:r w:rsidRPr="00873522">
        <w:t>HBEL“</w:t>
      </w:r>
      <w:r w:rsidRPr="00873522">
        <w:rPr>
          <w:rFonts w:ascii="宋体" w:eastAsia="宋体" w:hAnsi="宋体" w:cs="宋体" w:hint="eastAsia"/>
        </w:rPr>
        <w:t>不同途径</w:t>
      </w:r>
      <w:r w:rsidRPr="00873522">
        <w:t>”</w:t>
      </w:r>
      <w:r w:rsidRPr="00873522">
        <w:rPr>
          <w:rFonts w:ascii="宋体" w:eastAsia="宋体" w:hAnsi="宋体" w:cs="宋体" w:hint="eastAsia"/>
        </w:rPr>
        <w:t>。</w:t>
      </w:r>
      <w:r w:rsidRPr="00873522">
        <w:t xml:space="preserve"> </w:t>
      </w:r>
      <w:r w:rsidRPr="00873522">
        <w:rPr>
          <w:rFonts w:ascii="宋体" w:eastAsia="宋体" w:hAnsi="宋体" w:cs="宋体" w:hint="eastAsia"/>
        </w:rPr>
        <w:t>对于局部途径（皮肤，玻璃体内，鞘内等），其中潜在的暴露不是全身性的，应根据具体情况实施程序</w:t>
      </w:r>
      <w:r w:rsidR="00284695">
        <w:t xml:space="preserve">. </w:t>
      </w:r>
      <w:r w:rsidRPr="00873522">
        <w:rPr>
          <w:rFonts w:ascii="宋体" w:eastAsia="宋体" w:hAnsi="宋体" w:cs="宋体" w:hint="eastAsia"/>
        </w:rPr>
        <w:t>如果</w:t>
      </w:r>
      <w:proofErr w:type="spellStart"/>
      <w:r w:rsidRPr="00873522">
        <w:t>FPoD</w:t>
      </w:r>
      <w:proofErr w:type="spellEnd"/>
      <w:r w:rsidRPr="00873522">
        <w:rPr>
          <w:rFonts w:ascii="宋体" w:eastAsia="宋体" w:hAnsi="宋体" w:cs="宋体" w:hint="eastAsia"/>
        </w:rPr>
        <w:t>尚不可用，则可以使用</w:t>
      </w:r>
      <w:r w:rsidRPr="00873522">
        <w:t>Naumann</w:t>
      </w:r>
      <w:r w:rsidRPr="00873522">
        <w:rPr>
          <w:rFonts w:ascii="宋体" w:eastAsia="宋体" w:hAnsi="宋体" w:cs="宋体" w:hint="eastAsia"/>
        </w:rPr>
        <w:t>等人（</w:t>
      </w:r>
      <w:r w:rsidRPr="00873522">
        <w:t>65</w:t>
      </w:r>
      <w:r w:rsidRPr="00873522">
        <w:rPr>
          <w:rFonts w:ascii="宋体" w:eastAsia="宋体" w:hAnsi="宋体" w:cs="宋体" w:hint="eastAsia"/>
        </w:rPr>
        <w:t>）提出的指导进行计算。</w:t>
      </w:r>
      <w:r w:rsidRPr="00873522">
        <w:t xml:space="preserve"> </w:t>
      </w:r>
      <w:r w:rsidRPr="00873522">
        <w:rPr>
          <w:rFonts w:ascii="宋体" w:eastAsia="宋体" w:hAnsi="宋体" w:cs="宋体" w:hint="eastAsia"/>
        </w:rPr>
        <w:t>有关此主题的更多信息，请参见第</w:t>
      </w:r>
      <w:r w:rsidRPr="00873522">
        <w:t>8</w:t>
      </w:r>
      <w:r w:rsidRPr="00873522">
        <w:rPr>
          <w:rFonts w:ascii="宋体" w:eastAsia="宋体" w:hAnsi="宋体" w:cs="宋体" w:hint="eastAsia"/>
        </w:rPr>
        <w:t>节</w:t>
      </w:r>
      <w:r w:rsidR="00284695">
        <w:t>.</w:t>
      </w:r>
    </w:p>
    <w:p w14:paraId="5B1BBD39" w14:textId="77777777" w:rsidR="00873522" w:rsidRPr="00544D6C" w:rsidRDefault="00873522" w:rsidP="00873522">
      <w:pPr>
        <w:numPr>
          <w:ilvl w:val="3"/>
          <w:numId w:val="4"/>
        </w:numPr>
        <w:ind w:left="142" w:firstLine="0"/>
        <w:rPr>
          <w:highlight w:val="yellow"/>
        </w:rPr>
      </w:pPr>
      <w:r w:rsidRPr="00544D6C">
        <w:rPr>
          <w:rFonts w:ascii="宋体" w:eastAsia="宋体" w:hAnsi="宋体" w:cs="宋体" w:hint="eastAsia"/>
          <w:highlight w:val="yellow"/>
        </w:rPr>
        <w:t>如果已知人类口服生物利用度，则可以使用生物利用度范围的平均值。如果路线之间的生物利用度的相对差异不明显（即小于</w:t>
      </w:r>
      <w:r w:rsidRPr="00544D6C">
        <w:rPr>
          <w:highlight w:val="yellow"/>
        </w:rPr>
        <w:t>40</w:t>
      </w:r>
      <w:r w:rsidRPr="00544D6C">
        <w:rPr>
          <w:rFonts w:ascii="宋体" w:eastAsia="宋体" w:hAnsi="宋体" w:cs="宋体" w:hint="eastAsia"/>
          <w:highlight w:val="yellow"/>
        </w:rPr>
        <w:t>％），则通常不考虑</w:t>
      </w:r>
      <w:r w:rsidRPr="00544D6C">
        <w:rPr>
          <w:highlight w:val="yellow"/>
        </w:rPr>
        <w:t>α</w:t>
      </w:r>
      <w:r w:rsidRPr="00544D6C">
        <w:rPr>
          <w:rFonts w:ascii="宋体" w:eastAsia="宋体" w:hAnsi="宋体" w:cs="宋体" w:hint="eastAsia"/>
          <w:highlight w:val="yellow"/>
        </w:rPr>
        <w:t>因子，因此无需进行调整。例如，如果</w:t>
      </w:r>
      <w:r w:rsidRPr="00544D6C">
        <w:rPr>
          <w:highlight w:val="yellow"/>
        </w:rPr>
        <w:t>α≤1.4</w:t>
      </w:r>
      <w:r w:rsidRPr="00544D6C">
        <w:rPr>
          <w:rFonts w:ascii="宋体" w:eastAsia="宋体" w:hAnsi="宋体" w:cs="宋体" w:hint="eastAsia"/>
          <w:highlight w:val="yellow"/>
        </w:rPr>
        <w:t>（其中</w:t>
      </w:r>
      <w:r w:rsidRPr="00544D6C">
        <w:rPr>
          <w:highlight w:val="yellow"/>
        </w:rPr>
        <w:t>1.4</w:t>
      </w:r>
      <w:r w:rsidRPr="00544D6C">
        <w:rPr>
          <w:rFonts w:ascii="宋体" w:eastAsia="宋体" w:hAnsi="宋体" w:cs="宋体" w:hint="eastAsia"/>
          <w:highlight w:val="yellow"/>
        </w:rPr>
        <w:t>是</w:t>
      </w:r>
      <w:r w:rsidRPr="00544D6C">
        <w:rPr>
          <w:highlight w:val="yellow"/>
        </w:rPr>
        <w:t>40</w:t>
      </w:r>
      <w:r w:rsidRPr="00544D6C">
        <w:rPr>
          <w:rFonts w:ascii="宋体" w:eastAsia="宋体" w:hAnsi="宋体" w:cs="宋体" w:hint="eastAsia"/>
          <w:highlight w:val="yellow"/>
        </w:rPr>
        <w:t>％的差异），则可以假定</w:t>
      </w:r>
      <w:r w:rsidRPr="00544D6C">
        <w:rPr>
          <w:highlight w:val="yellow"/>
        </w:rPr>
        <w:t>α</w:t>
      </w:r>
      <w:r w:rsidRPr="00544D6C">
        <w:rPr>
          <w:rFonts w:ascii="宋体" w:eastAsia="宋体" w:hAnsi="宋体" w:cs="宋体" w:hint="eastAsia"/>
          <w:highlight w:val="yellow"/>
        </w:rPr>
        <w:t>为</w:t>
      </w:r>
      <w:r w:rsidRPr="00544D6C">
        <w:rPr>
          <w:highlight w:val="yellow"/>
        </w:rPr>
        <w:t>1</w:t>
      </w:r>
      <w:r w:rsidRPr="00544D6C">
        <w:rPr>
          <w:rFonts w:ascii="宋体" w:eastAsia="宋体" w:hAnsi="宋体" w:cs="宋体" w:hint="eastAsia"/>
          <w:highlight w:val="yellow"/>
        </w:rPr>
        <w:t>。</w:t>
      </w:r>
    </w:p>
    <w:p w14:paraId="44D2CC3D" w14:textId="0ABA9094" w:rsidR="0026097E" w:rsidRDefault="00873522" w:rsidP="00873522">
      <w:pPr>
        <w:numPr>
          <w:ilvl w:val="3"/>
          <w:numId w:val="4"/>
        </w:numPr>
        <w:ind w:left="142" w:firstLine="0"/>
      </w:pPr>
      <w:r>
        <w:rPr>
          <w:rFonts w:ascii="宋体" w:eastAsia="宋体" w:hAnsi="宋体" w:cs="宋体" w:hint="eastAsia"/>
        </w:rPr>
        <w:t>如果</w:t>
      </w:r>
      <w:r>
        <w:t>HBEL</w:t>
      </w:r>
      <w:r>
        <w:rPr>
          <w:rFonts w:ascii="宋体" w:eastAsia="宋体" w:hAnsi="宋体" w:cs="宋体" w:hint="eastAsia"/>
        </w:rPr>
        <w:t>计算使用来自动物模型的</w:t>
      </w:r>
      <w:proofErr w:type="spellStart"/>
      <w:r>
        <w:t>PoD</w:t>
      </w:r>
      <w:proofErr w:type="spellEnd"/>
      <w:r>
        <w:rPr>
          <w:rFonts w:ascii="宋体" w:eastAsia="宋体" w:hAnsi="宋体" w:cs="宋体" w:hint="eastAsia"/>
        </w:rPr>
        <w:t>，则可以使用该物种的生物利用度。如果使用人类</w:t>
      </w:r>
      <w:proofErr w:type="spellStart"/>
      <w:r>
        <w:t>PoD</w:t>
      </w:r>
      <w:proofErr w:type="spellEnd"/>
      <w:r>
        <w:rPr>
          <w:rFonts w:ascii="宋体" w:eastAsia="宋体" w:hAnsi="宋体" w:cs="宋体" w:hint="eastAsia"/>
        </w:rPr>
        <w:t>进行的</w:t>
      </w:r>
      <w:r>
        <w:t>HBEL</w:t>
      </w:r>
      <w:r>
        <w:rPr>
          <w:rFonts w:ascii="宋体" w:eastAsia="宋体" w:hAnsi="宋体" w:cs="宋体" w:hint="eastAsia"/>
        </w:rPr>
        <w:t>计算未知人类的生物利用度，则适合使用最相关物种的生物利用度或对已知物种的平均生物利用度进行平均。在测量的生物利用度未知的时候，可以使用估计的生物利用度。例如，可以从体外数据（例如</w:t>
      </w:r>
      <w:r>
        <w:t>CACO-2</w:t>
      </w:r>
      <w:r>
        <w:rPr>
          <w:rFonts w:ascii="宋体" w:eastAsia="宋体" w:hAnsi="宋体" w:cs="宋体" w:hint="eastAsia"/>
        </w:rPr>
        <w:t>模型），计算机内估计（例如</w:t>
      </w:r>
      <w:proofErr w:type="spellStart"/>
      <w:r>
        <w:t>GastroPlus</w:t>
      </w:r>
      <w:proofErr w:type="spellEnd"/>
      <w:r>
        <w:t xml:space="preserve"> ADMET</w:t>
      </w:r>
      <w:r>
        <w:rPr>
          <w:rFonts w:ascii="宋体" w:eastAsia="宋体" w:hAnsi="宋体" w:cs="宋体" w:hint="eastAsia"/>
        </w:rPr>
        <w:t>预测值），物理化学性质（例如分子量，辛醇水分配系数）或</w:t>
      </w:r>
      <w:r>
        <w:t>-vivo</w:t>
      </w:r>
      <w:r>
        <w:rPr>
          <w:rFonts w:ascii="宋体" w:eastAsia="宋体" w:hAnsi="宋体" w:cs="宋体" w:hint="eastAsia"/>
        </w:rPr>
        <w:t>数据可用于替代路线。使用的方法应有科学依据</w:t>
      </w:r>
      <w:r w:rsidR="00284695">
        <w:t>.</w:t>
      </w:r>
    </w:p>
    <w:p w14:paraId="65F22922" w14:textId="3B8C7AD5" w:rsidR="0026097E" w:rsidRPr="00544D6C" w:rsidRDefault="00873522" w:rsidP="00873522">
      <w:pPr>
        <w:numPr>
          <w:ilvl w:val="3"/>
          <w:numId w:val="4"/>
        </w:numPr>
        <w:ind w:left="142" w:firstLine="0"/>
        <w:rPr>
          <w:highlight w:val="yellow"/>
        </w:rPr>
      </w:pPr>
      <w:r w:rsidRPr="00873522">
        <w:rPr>
          <w:rFonts w:ascii="宋体" w:eastAsia="宋体" w:hAnsi="宋体" w:cs="宋体" w:hint="eastAsia"/>
        </w:rPr>
        <w:t>为了评估蛋白质和</w:t>
      </w:r>
      <w:proofErr w:type="gramStart"/>
      <w:r w:rsidRPr="00873522">
        <w:rPr>
          <w:rFonts w:ascii="宋体" w:eastAsia="宋体" w:hAnsi="宋体" w:cs="宋体" w:hint="eastAsia"/>
        </w:rPr>
        <w:t>肽治疗</w:t>
      </w:r>
      <w:proofErr w:type="gramEnd"/>
      <w:r w:rsidRPr="00873522">
        <w:rPr>
          <w:rFonts w:ascii="宋体" w:eastAsia="宋体" w:hAnsi="宋体" w:cs="宋体" w:hint="eastAsia"/>
        </w:rPr>
        <w:t>剂，在考虑口服或皮肤接触途径时</w:t>
      </w:r>
      <w:r w:rsidRPr="00544D6C">
        <w:rPr>
          <w:rFonts w:ascii="宋体" w:eastAsia="宋体" w:hAnsi="宋体" w:cs="宋体" w:hint="eastAsia"/>
          <w:highlight w:val="yellow"/>
        </w:rPr>
        <w:t>，通常不考虑蛋白质治疗剂的生物利用度。</w:t>
      </w:r>
      <w:r w:rsidRPr="00544D6C">
        <w:rPr>
          <w:highlight w:val="yellow"/>
        </w:rPr>
        <w:t xml:space="preserve"> </w:t>
      </w:r>
      <w:r w:rsidRPr="00544D6C">
        <w:rPr>
          <w:rFonts w:ascii="宋体" w:eastAsia="宋体" w:hAnsi="宋体" w:cs="宋体" w:hint="eastAsia"/>
          <w:highlight w:val="yellow"/>
        </w:rPr>
        <w:t>一旦蛋白质到达酸性消化道，蛋白质就会降解为较小的肽和所有生物内源的氨基酸（</w:t>
      </w:r>
      <w:r w:rsidRPr="00544D6C">
        <w:rPr>
          <w:highlight w:val="yellow"/>
        </w:rPr>
        <w:t>66</w:t>
      </w:r>
      <w:r w:rsidRPr="00544D6C">
        <w:rPr>
          <w:rFonts w:ascii="宋体" w:eastAsia="宋体" w:hAnsi="宋体" w:cs="宋体" w:hint="eastAsia"/>
          <w:highlight w:val="yellow"/>
        </w:rPr>
        <w:t>）。</w:t>
      </w:r>
      <w:r w:rsidRPr="00544D6C">
        <w:rPr>
          <w:highlight w:val="yellow"/>
        </w:rPr>
        <w:t xml:space="preserve"> </w:t>
      </w:r>
      <w:r w:rsidRPr="00544D6C">
        <w:rPr>
          <w:rFonts w:ascii="宋体" w:eastAsia="宋体" w:hAnsi="宋体" w:cs="宋体" w:hint="eastAsia"/>
          <w:highlight w:val="yellow"/>
        </w:rPr>
        <w:t>此外，预计蛋白质不能穿越完整的真皮屏障（</w:t>
      </w:r>
      <w:r w:rsidRPr="00544D6C">
        <w:rPr>
          <w:highlight w:val="yellow"/>
        </w:rPr>
        <w:t>67</w:t>
      </w:r>
      <w:r w:rsidRPr="00544D6C">
        <w:rPr>
          <w:rFonts w:ascii="宋体" w:eastAsia="宋体" w:hAnsi="宋体" w:cs="宋体" w:hint="eastAsia"/>
          <w:highlight w:val="yellow"/>
        </w:rPr>
        <w:t>、</w:t>
      </w:r>
      <w:r w:rsidRPr="00544D6C">
        <w:rPr>
          <w:highlight w:val="yellow"/>
        </w:rPr>
        <w:t>68</w:t>
      </w:r>
      <w:r w:rsidRPr="00544D6C">
        <w:rPr>
          <w:rFonts w:ascii="宋体" w:eastAsia="宋体" w:hAnsi="宋体" w:cs="宋体" w:hint="eastAsia"/>
          <w:highlight w:val="yellow"/>
        </w:rPr>
        <w:t>）。</w:t>
      </w:r>
      <w:r w:rsidRPr="00544D6C">
        <w:rPr>
          <w:highlight w:val="yellow"/>
        </w:rPr>
        <w:t xml:space="preserve"> </w:t>
      </w:r>
      <w:r w:rsidRPr="00544D6C">
        <w:rPr>
          <w:rFonts w:ascii="宋体" w:eastAsia="宋体" w:hAnsi="宋体" w:cs="宋体" w:hint="eastAsia"/>
          <w:highlight w:val="yellow"/>
        </w:rPr>
        <w:t>口服或皮肤的生物利用度被认为是微不足道的，通常不需要发展</w:t>
      </w:r>
      <w:r w:rsidRPr="00544D6C">
        <w:rPr>
          <w:highlight w:val="yellow"/>
        </w:rPr>
        <w:t>HBEL</w:t>
      </w:r>
      <w:r w:rsidR="005F06FF" w:rsidRPr="00544D6C">
        <w:rPr>
          <w:rFonts w:ascii="宋体" w:eastAsia="宋体" w:hAnsi="宋体" w:cs="宋体" w:hint="eastAsia"/>
          <w:highlight w:val="yellow"/>
          <w:vertAlign w:val="subscript"/>
        </w:rPr>
        <w:t>口服</w:t>
      </w:r>
      <w:r w:rsidRPr="00544D6C">
        <w:rPr>
          <w:rFonts w:ascii="宋体" w:eastAsia="宋体" w:hAnsi="宋体" w:cs="宋体" w:hint="eastAsia"/>
          <w:highlight w:val="yellow"/>
        </w:rPr>
        <w:t>或</w:t>
      </w:r>
      <w:r w:rsidRPr="00544D6C">
        <w:rPr>
          <w:highlight w:val="yellow"/>
        </w:rPr>
        <w:t>HBEL</w:t>
      </w:r>
      <w:r w:rsidR="005F06FF" w:rsidRPr="00544D6C">
        <w:rPr>
          <w:rFonts w:ascii="宋体" w:eastAsia="宋体" w:hAnsi="宋体" w:cs="宋体" w:hint="eastAsia"/>
          <w:highlight w:val="yellow"/>
          <w:vertAlign w:val="subscript"/>
        </w:rPr>
        <w:t>皮肤</w:t>
      </w:r>
      <w:r w:rsidR="00284695" w:rsidRPr="00544D6C">
        <w:rPr>
          <w:highlight w:val="yellow"/>
        </w:rPr>
        <w:t>.</w:t>
      </w:r>
    </w:p>
    <w:p w14:paraId="1620E98D" w14:textId="6E9E8DED" w:rsidR="0026097E" w:rsidRPr="005F06FF" w:rsidRDefault="00284695" w:rsidP="00873522">
      <w:pPr>
        <w:spacing w:after="48" w:line="248" w:lineRule="auto"/>
        <w:ind w:left="185" w:firstLine="0"/>
      </w:pPr>
      <w:r w:rsidRPr="005F06FF">
        <w:t xml:space="preserve">5.8.2 </w:t>
      </w:r>
      <w:r w:rsidR="00873522" w:rsidRPr="005F06FF">
        <w:rPr>
          <w:rFonts w:ascii="宋体" w:eastAsia="宋体" w:hAnsi="宋体" w:cs="宋体" w:hint="eastAsia"/>
        </w:rPr>
        <w:t>积累因子</w:t>
      </w:r>
      <w:r w:rsidRPr="005F06FF">
        <w:t>(PK-AF):</w:t>
      </w:r>
    </w:p>
    <w:p w14:paraId="53FC65D4" w14:textId="77777777" w:rsidR="00873522" w:rsidRPr="00544D6C" w:rsidRDefault="00873522" w:rsidP="00873522">
      <w:pPr>
        <w:numPr>
          <w:ilvl w:val="3"/>
          <w:numId w:val="6"/>
        </w:numPr>
        <w:spacing w:after="88"/>
        <w:ind w:left="0" w:firstLine="0"/>
        <w:rPr>
          <w:highlight w:val="yellow"/>
        </w:rPr>
      </w:pPr>
      <w:r>
        <w:rPr>
          <w:rFonts w:ascii="宋体" w:eastAsia="宋体" w:hAnsi="宋体" w:cs="宋体" w:hint="eastAsia"/>
        </w:rPr>
        <w:t>累积因子（</w:t>
      </w:r>
      <w:r>
        <w:t>PK-AF</w:t>
      </w:r>
      <w:r>
        <w:rPr>
          <w:rFonts w:ascii="宋体" w:eastAsia="宋体" w:hAnsi="宋体" w:cs="宋体" w:hint="eastAsia"/>
        </w:rPr>
        <w:t>）用于说明化合物在被评估人群体内的累积。</w:t>
      </w:r>
      <w:r>
        <w:t xml:space="preserve"> </w:t>
      </w:r>
      <w:r w:rsidRPr="00544D6C">
        <w:rPr>
          <w:rFonts w:ascii="宋体" w:eastAsia="宋体" w:hAnsi="宋体" w:cs="宋体" w:hint="eastAsia"/>
          <w:highlight w:val="yellow"/>
        </w:rPr>
        <w:t>如果</w:t>
      </w:r>
      <w:proofErr w:type="spellStart"/>
      <w:r w:rsidRPr="00544D6C">
        <w:rPr>
          <w:highlight w:val="yellow"/>
        </w:rPr>
        <w:t>PoD</w:t>
      </w:r>
      <w:proofErr w:type="spellEnd"/>
      <w:r w:rsidRPr="00544D6C">
        <w:rPr>
          <w:rFonts w:ascii="宋体" w:eastAsia="宋体" w:hAnsi="宋体" w:cs="宋体" w:hint="eastAsia"/>
          <w:highlight w:val="yellow"/>
        </w:rPr>
        <w:t>给药间隔达到稳态浓度，则通常不需要</w:t>
      </w:r>
      <w:r w:rsidRPr="00544D6C">
        <w:rPr>
          <w:highlight w:val="yellow"/>
        </w:rPr>
        <w:t>PK-AF</w:t>
      </w:r>
      <w:r w:rsidRPr="00544D6C">
        <w:rPr>
          <w:rFonts w:ascii="宋体" w:eastAsia="宋体" w:hAnsi="宋体" w:cs="宋体" w:hint="eastAsia"/>
          <w:highlight w:val="yellow"/>
        </w:rPr>
        <w:t>。</w:t>
      </w:r>
    </w:p>
    <w:p w14:paraId="006F0690" w14:textId="238E4205" w:rsidR="0026097E" w:rsidRDefault="00873522" w:rsidP="00873522">
      <w:pPr>
        <w:numPr>
          <w:ilvl w:val="3"/>
          <w:numId w:val="6"/>
        </w:numPr>
        <w:spacing w:after="88"/>
        <w:ind w:left="0"/>
      </w:pPr>
      <w:r>
        <w:rPr>
          <w:rFonts w:ascii="宋体" w:eastAsia="宋体" w:hAnsi="宋体" w:cs="宋体" w:hint="eastAsia"/>
        </w:rPr>
        <w:t>如果</w:t>
      </w:r>
      <w:proofErr w:type="spellStart"/>
      <w:r>
        <w:t>PoD</w:t>
      </w:r>
      <w:proofErr w:type="spellEnd"/>
      <w:r>
        <w:rPr>
          <w:rFonts w:ascii="宋体" w:eastAsia="宋体" w:hAnsi="宋体" w:cs="宋体" w:hint="eastAsia"/>
        </w:rPr>
        <w:t>研究的给药时间表是间歇性的，或者研究的时间太短而无法达到稳态浓度，则应评估对</w:t>
      </w:r>
      <w:r>
        <w:t>PK-AF</w:t>
      </w:r>
      <w:r>
        <w:rPr>
          <w:rFonts w:ascii="宋体" w:eastAsia="宋体" w:hAnsi="宋体" w:cs="宋体" w:hint="eastAsia"/>
        </w:rPr>
        <w:t>的需求。</w:t>
      </w:r>
      <w:r>
        <w:t xml:space="preserve"> </w:t>
      </w:r>
      <w:r>
        <w:rPr>
          <w:rFonts w:ascii="宋体" w:eastAsia="宋体" w:hAnsi="宋体" w:cs="宋体" w:hint="eastAsia"/>
        </w:rPr>
        <w:t>如果临床文档中未提供，则可使用一般的药代动力学原理对一个房室模型进行评估</w:t>
      </w:r>
      <w:r w:rsidR="00284695">
        <w:t>.</w:t>
      </w:r>
    </w:p>
    <w:p w14:paraId="46D31496" w14:textId="77777777" w:rsidR="00DF6756" w:rsidRDefault="00284695">
      <w:pPr>
        <w:tabs>
          <w:tab w:val="center" w:pos="2603"/>
          <w:tab w:val="right" w:pos="5030"/>
        </w:tabs>
        <w:spacing w:after="123" w:line="259" w:lineRule="auto"/>
        <w:ind w:right="-1" w:firstLine="0"/>
        <w:jc w:val="left"/>
        <w:rPr>
          <w:rFonts w:ascii="Calibri" w:eastAsia="Calibri" w:hAnsi="Calibri" w:cs="Calibri"/>
          <w:color w:val="000000"/>
          <w:sz w:val="22"/>
        </w:rPr>
      </w:pPr>
      <w:r>
        <w:rPr>
          <w:rFonts w:ascii="Calibri" w:eastAsia="Calibri" w:hAnsi="Calibri" w:cs="Calibri"/>
          <w:color w:val="000000"/>
          <w:sz w:val="22"/>
        </w:rPr>
        <w:tab/>
      </w:r>
    </w:p>
    <w:p w14:paraId="3E5B793C" w14:textId="1AFA8A7E" w:rsidR="0026097E" w:rsidRDefault="00284695" w:rsidP="005F06FF">
      <w:pPr>
        <w:tabs>
          <w:tab w:val="center" w:pos="2603"/>
          <w:tab w:val="right" w:pos="5030"/>
        </w:tabs>
        <w:spacing w:after="123" w:line="259" w:lineRule="auto"/>
        <w:ind w:right="-1" w:firstLineChars="350" w:firstLine="595"/>
        <w:jc w:val="left"/>
      </w:pPr>
      <w:r>
        <w:rPr>
          <w:sz w:val="17"/>
        </w:rPr>
        <w:t>PK-AF</w:t>
      </w:r>
      <w:r w:rsidR="00DF6756">
        <w:rPr>
          <w:rFonts w:asciiTheme="minorEastAsia" w:eastAsiaTheme="minorEastAsia" w:hAnsiTheme="minorEastAsia" w:cs="Univers" w:hint="eastAsia"/>
          <w:sz w:val="17"/>
        </w:rPr>
        <w:t>=</w:t>
      </w:r>
      <w:r>
        <w:rPr>
          <w:rFonts w:ascii="Univers" w:eastAsia="Univers" w:hAnsi="Univers" w:cs="Univers"/>
          <w:sz w:val="17"/>
        </w:rPr>
        <w:t xml:space="preserve"> </w:t>
      </w:r>
      <w:r w:rsidR="005F06FF">
        <w:rPr>
          <w:rFonts w:asciiTheme="minorEastAsia" w:eastAsiaTheme="minorEastAsia" w:hAnsiTheme="minorEastAsia" w:cs="Univers" w:hint="eastAsia"/>
        </w:rPr>
        <w:t>【1</w:t>
      </w:r>
      <w:r w:rsidR="005F06FF">
        <w:rPr>
          <w:rFonts w:asciiTheme="minorEastAsia" w:eastAsiaTheme="minorEastAsia" w:hAnsiTheme="minorEastAsia" w:cs="Univers"/>
        </w:rPr>
        <w:t>/</w:t>
      </w:r>
      <w:r w:rsidR="005F06FF">
        <w:rPr>
          <w:rFonts w:asciiTheme="minorEastAsia" w:eastAsiaTheme="minorEastAsia" w:hAnsiTheme="minorEastAsia" w:cs="Univers" w:hint="eastAsia"/>
        </w:rPr>
        <w:t>（1-e</w:t>
      </w:r>
      <w:r w:rsidR="005F06FF" w:rsidRPr="005F06FF">
        <w:rPr>
          <w:rFonts w:asciiTheme="minorEastAsia" w:eastAsiaTheme="minorEastAsia" w:hAnsiTheme="minorEastAsia" w:cs="Univers"/>
          <w:vertAlign w:val="superscript"/>
        </w:rPr>
        <w:t>-kel*t</w:t>
      </w:r>
      <w:r w:rsidR="005F06FF">
        <w:rPr>
          <w:rFonts w:asciiTheme="minorEastAsia" w:eastAsiaTheme="minorEastAsia" w:hAnsiTheme="minorEastAsia" w:cs="Univers" w:hint="eastAsia"/>
        </w:rPr>
        <w:t xml:space="preserve">）】 </w:t>
      </w:r>
      <w:r>
        <w:rPr>
          <w:rFonts w:ascii="Univers" w:eastAsia="Univers" w:hAnsi="Univers" w:cs="Univers"/>
        </w:rPr>
        <w:tab/>
      </w:r>
      <w:r>
        <w:rPr>
          <w:sz w:val="17"/>
        </w:rPr>
        <w:t>(5)</w:t>
      </w:r>
    </w:p>
    <w:p w14:paraId="5646D21B" w14:textId="3D7E3B94" w:rsidR="0026097E" w:rsidRDefault="00284695" w:rsidP="005F06FF">
      <w:pPr>
        <w:tabs>
          <w:tab w:val="center" w:pos="2605"/>
          <w:tab w:val="right" w:pos="5030"/>
        </w:tabs>
        <w:spacing w:after="127" w:line="259" w:lineRule="auto"/>
        <w:ind w:right="-1" w:firstLineChars="350" w:firstLine="840"/>
        <w:jc w:val="left"/>
      </w:pPr>
      <w:r w:rsidRPr="00176F09">
        <w:rPr>
          <w:i/>
          <w:sz w:val="24"/>
          <w:szCs w:val="24"/>
        </w:rPr>
        <w:lastRenderedPageBreak/>
        <w:t xml:space="preserve">K </w:t>
      </w:r>
      <w:r w:rsidRPr="00176F09">
        <w:rPr>
          <w:sz w:val="24"/>
          <w:szCs w:val="24"/>
          <w:vertAlign w:val="subscript"/>
        </w:rPr>
        <w:t xml:space="preserve">el </w:t>
      </w:r>
      <w:r w:rsidR="00544D6C" w:rsidRPr="00176F09">
        <w:rPr>
          <w:rFonts w:asciiTheme="minorEastAsia" w:eastAsiaTheme="minorEastAsia" w:hAnsiTheme="minorEastAsia" w:cs="Univers" w:hint="eastAsia"/>
          <w:sz w:val="24"/>
          <w:szCs w:val="24"/>
        </w:rPr>
        <w:t>=</w:t>
      </w:r>
      <w:r w:rsidRPr="00176F09">
        <w:rPr>
          <w:rFonts w:ascii="Univers" w:eastAsia="Univers" w:hAnsi="Univers" w:cs="Univers"/>
          <w:sz w:val="24"/>
          <w:szCs w:val="24"/>
        </w:rPr>
        <w:t xml:space="preserve"> </w:t>
      </w:r>
      <w:r w:rsidRPr="00176F09">
        <w:rPr>
          <w:sz w:val="24"/>
          <w:szCs w:val="24"/>
        </w:rPr>
        <w:t>0.693⁄</w:t>
      </w:r>
      <w:r w:rsidRPr="00176F09">
        <w:rPr>
          <w:i/>
          <w:sz w:val="24"/>
          <w:szCs w:val="24"/>
        </w:rPr>
        <w:t xml:space="preserve">t </w:t>
      </w:r>
      <w:r w:rsidRPr="00176F09">
        <w:rPr>
          <w:sz w:val="24"/>
          <w:szCs w:val="24"/>
          <w:vertAlign w:val="subscript"/>
        </w:rPr>
        <w:t>1⁄2</w:t>
      </w:r>
      <w:r w:rsidRPr="00176F09">
        <w:rPr>
          <w:sz w:val="24"/>
          <w:szCs w:val="24"/>
          <w:vertAlign w:val="subscript"/>
        </w:rPr>
        <w:tab/>
      </w:r>
      <w:r w:rsidR="005F06FF" w:rsidRPr="00176F09">
        <w:rPr>
          <w:sz w:val="24"/>
          <w:szCs w:val="24"/>
          <w:vertAlign w:val="subscript"/>
        </w:rPr>
        <w:t xml:space="preserve">             </w:t>
      </w:r>
      <w:r w:rsidR="005F06FF">
        <w:rPr>
          <w:sz w:val="16"/>
          <w:vertAlign w:val="subscript"/>
        </w:rPr>
        <w:t xml:space="preserve">                                                                                                             </w:t>
      </w:r>
      <w:proofErr w:type="gramStart"/>
      <w:r w:rsidR="005F06FF">
        <w:rPr>
          <w:sz w:val="16"/>
          <w:vertAlign w:val="subscript"/>
        </w:rPr>
        <w:t xml:space="preserve">   </w:t>
      </w:r>
      <w:r>
        <w:rPr>
          <w:sz w:val="17"/>
        </w:rPr>
        <w:t>(</w:t>
      </w:r>
      <w:proofErr w:type="gramEnd"/>
      <w:r>
        <w:rPr>
          <w:sz w:val="17"/>
        </w:rPr>
        <w:t>6)</w:t>
      </w:r>
    </w:p>
    <w:p w14:paraId="28E88E16" w14:textId="53F2DF53" w:rsidR="0026097E" w:rsidRPr="00544D6C" w:rsidRDefault="00284695">
      <w:pPr>
        <w:tabs>
          <w:tab w:val="center" w:pos="1463"/>
        </w:tabs>
        <w:ind w:left="-15" w:firstLine="0"/>
        <w:jc w:val="left"/>
        <w:rPr>
          <w:iCs/>
        </w:rPr>
      </w:pPr>
      <w:r w:rsidRPr="00544D6C">
        <w:rPr>
          <w:iCs/>
        </w:rPr>
        <w:t>e</w:t>
      </w:r>
      <w:r w:rsidRPr="00544D6C">
        <w:rPr>
          <w:iCs/>
        </w:rPr>
        <w:tab/>
        <w:t xml:space="preserve">= </w:t>
      </w:r>
      <w:r w:rsidR="00873522" w:rsidRPr="00544D6C">
        <w:rPr>
          <w:rFonts w:ascii="宋体" w:eastAsia="宋体" w:hAnsi="宋体" w:cs="宋体" w:hint="eastAsia"/>
          <w:iCs/>
        </w:rPr>
        <w:t>自然对数</w:t>
      </w:r>
      <w:r w:rsidRPr="00544D6C">
        <w:rPr>
          <w:iCs/>
        </w:rPr>
        <w:t>,</w:t>
      </w:r>
    </w:p>
    <w:p w14:paraId="6ADD3185" w14:textId="77777777" w:rsidR="00873522" w:rsidRDefault="00284695" w:rsidP="00873522">
      <w:pPr>
        <w:ind w:left="-15" w:firstLine="0"/>
      </w:pPr>
      <w:proofErr w:type="spellStart"/>
      <w:r>
        <w:rPr>
          <w:i/>
        </w:rPr>
        <w:t>K</w:t>
      </w:r>
      <w:r>
        <w:rPr>
          <w:vertAlign w:val="subscript"/>
        </w:rPr>
        <w:t>el</w:t>
      </w:r>
      <w:proofErr w:type="spellEnd"/>
      <w:r>
        <w:rPr>
          <w:vertAlign w:val="subscript"/>
        </w:rPr>
        <w:t xml:space="preserve"> </w:t>
      </w:r>
      <w:r>
        <w:t xml:space="preserve">= </w:t>
      </w:r>
      <w:r w:rsidR="00873522">
        <w:rPr>
          <w:rFonts w:ascii="宋体" w:eastAsia="宋体" w:hAnsi="宋体" w:cs="宋体" w:hint="eastAsia"/>
        </w:rPr>
        <w:t>消除速率常数，</w:t>
      </w:r>
      <w:r w:rsidR="00873522">
        <w:t>t =</w:t>
      </w:r>
      <w:r w:rsidR="00873522">
        <w:rPr>
          <w:rFonts w:ascii="宋体" w:eastAsia="宋体" w:hAnsi="宋体" w:cs="宋体" w:hint="eastAsia"/>
        </w:rPr>
        <w:t>两次接触之间的时间间隔（小时）</w:t>
      </w:r>
    </w:p>
    <w:p w14:paraId="616BCF15" w14:textId="2F7806CC" w:rsidR="00873522" w:rsidRDefault="00873522" w:rsidP="00873522">
      <w:pPr>
        <w:shd w:val="clear" w:color="auto" w:fill="FFFFFF"/>
        <w:spacing w:after="0" w:line="240" w:lineRule="auto"/>
        <w:ind w:firstLine="0"/>
        <w:jc w:val="left"/>
        <w:textAlignment w:val="top"/>
        <w:rPr>
          <w:rFonts w:ascii="宋体" w:eastAsia="宋体" w:hAnsi="宋体" w:cs="宋体"/>
        </w:rPr>
      </w:pPr>
      <w:r>
        <w:rPr>
          <w:rFonts w:ascii="宋体" w:eastAsia="宋体" w:hAnsi="宋体" w:cs="宋体" w:hint="eastAsia"/>
        </w:rPr>
        <w:t>间隔），</w:t>
      </w:r>
    </w:p>
    <w:p w14:paraId="7FF4316A" w14:textId="77777777" w:rsidR="00873522" w:rsidRPr="005F06FF" w:rsidRDefault="00873522" w:rsidP="00873522">
      <w:pPr>
        <w:shd w:val="clear" w:color="auto" w:fill="F5F5F5"/>
        <w:spacing w:after="0" w:line="240" w:lineRule="auto"/>
        <w:ind w:firstLine="0"/>
        <w:jc w:val="left"/>
        <w:rPr>
          <w:rFonts w:ascii="宋体" w:eastAsia="宋体" w:hAnsi="宋体" w:cs="Arial"/>
          <w:color w:val="777777"/>
          <w:kern w:val="0"/>
          <w:szCs w:val="20"/>
        </w:rPr>
      </w:pPr>
      <w:r w:rsidRPr="005F06FF">
        <w:rPr>
          <w:rFonts w:ascii="宋体" w:eastAsia="宋体" w:hAnsi="宋体" w:cs="Arial" w:hint="eastAsia"/>
          <w:color w:val="777777"/>
          <w:kern w:val="0"/>
          <w:szCs w:val="20"/>
        </w:rPr>
        <w:t>0.693 = ln2，并且</w:t>
      </w:r>
      <w:r w:rsidRPr="005F06FF">
        <w:rPr>
          <w:rFonts w:ascii="宋体" w:eastAsia="宋体" w:hAnsi="宋体" w:cs="Arial" w:hint="eastAsia"/>
          <w:color w:val="777777"/>
          <w:kern w:val="0"/>
          <w:szCs w:val="20"/>
        </w:rPr>
        <w:br/>
        <w:t>t</w:t>
      </w:r>
      <w:r w:rsidRPr="005F06FF">
        <w:rPr>
          <w:rFonts w:ascii="宋体" w:eastAsia="宋体" w:hAnsi="宋体" w:cs="Arial" w:hint="eastAsia"/>
          <w:color w:val="777777"/>
          <w:kern w:val="0"/>
          <w:szCs w:val="20"/>
          <w:vertAlign w:val="subscript"/>
        </w:rPr>
        <w:t>1 / 2</w:t>
      </w:r>
      <w:r w:rsidRPr="005F06FF">
        <w:rPr>
          <w:rFonts w:ascii="宋体" w:eastAsia="宋体" w:hAnsi="宋体" w:cs="Arial" w:hint="eastAsia"/>
          <w:color w:val="777777"/>
          <w:kern w:val="0"/>
          <w:szCs w:val="20"/>
        </w:rPr>
        <w:t xml:space="preserve"> =药物消除半衰期（小时）（终末血浆半衰期值）</w:t>
      </w:r>
    </w:p>
    <w:p w14:paraId="14423A34" w14:textId="23E4B73F" w:rsidR="00873522" w:rsidRDefault="00284695" w:rsidP="005F06FF">
      <w:pPr>
        <w:ind w:left="-15" w:firstLine="0"/>
      </w:pPr>
      <w:r>
        <w:t xml:space="preserve">.5.8.2.3 </w:t>
      </w:r>
      <w:proofErr w:type="gramStart"/>
      <w:r w:rsidR="00873522">
        <w:rPr>
          <w:rFonts w:ascii="宋体" w:eastAsia="宋体" w:hAnsi="宋体" w:cs="宋体" w:hint="eastAsia"/>
        </w:rPr>
        <w:t>凯</w:t>
      </w:r>
      <w:proofErr w:type="gramEnd"/>
      <w:r w:rsidR="00873522">
        <w:rPr>
          <w:rFonts w:ascii="宋体" w:eastAsia="宋体" w:hAnsi="宋体" w:cs="宋体" w:hint="eastAsia"/>
        </w:rPr>
        <w:t>尔方程假设一阶动力学，并提供一个修正因子来反映人类的代谢率，生物蓄积和正常的排泄机制。</w:t>
      </w:r>
      <w:r w:rsidR="00873522">
        <w:t xml:space="preserve"> </w:t>
      </w:r>
      <w:r w:rsidR="00873522">
        <w:rPr>
          <w:rFonts w:ascii="宋体" w:eastAsia="宋体" w:hAnsi="宋体" w:cs="宋体" w:hint="eastAsia"/>
        </w:rPr>
        <w:t>对于具有二级动力学的化合物，可能需要其他信息。</w:t>
      </w:r>
      <w:r w:rsidR="00873522">
        <w:t xml:space="preserve"> </w:t>
      </w:r>
      <w:r w:rsidR="00873522">
        <w:rPr>
          <w:rFonts w:ascii="宋体" w:eastAsia="宋体" w:hAnsi="宋体" w:cs="宋体" w:hint="eastAsia"/>
        </w:rPr>
        <w:t>对于默认的</w:t>
      </w:r>
      <w:r w:rsidR="00873522">
        <w:t>HBEL</w:t>
      </w:r>
      <w:r w:rsidR="00873522">
        <w:rPr>
          <w:rFonts w:ascii="宋体" w:eastAsia="宋体" w:hAnsi="宋体" w:cs="宋体" w:hint="eastAsia"/>
        </w:rPr>
        <w:t>暴露情景，该情景表示每个暴露时间段开始之间的给药间隔时间，则假定每日剂量，并且</w:t>
      </w:r>
      <w:r w:rsidR="00873522">
        <w:t>t</w:t>
      </w:r>
      <w:r w:rsidR="00873522">
        <w:rPr>
          <w:rFonts w:ascii="宋体" w:eastAsia="宋体" w:hAnsi="宋体" w:cs="宋体" w:hint="eastAsia"/>
        </w:rPr>
        <w:t>（时间）应等于</w:t>
      </w:r>
      <w:r w:rsidR="00873522">
        <w:t>24</w:t>
      </w:r>
      <w:r w:rsidR="00873522">
        <w:rPr>
          <w:rFonts w:ascii="宋体" w:eastAsia="宋体" w:hAnsi="宋体" w:cs="宋体" w:hint="eastAsia"/>
        </w:rPr>
        <w:t>小时。</w:t>
      </w:r>
    </w:p>
    <w:p w14:paraId="6CC0C2B9" w14:textId="4BBF8E45" w:rsidR="0026097E" w:rsidRDefault="00873522" w:rsidP="00873522">
      <w:pPr>
        <w:ind w:left="-15"/>
      </w:pPr>
      <w:r>
        <w:t>5.8.2.4</w:t>
      </w:r>
      <w:r>
        <w:rPr>
          <w:rFonts w:ascii="宋体" w:eastAsia="宋体" w:hAnsi="宋体" w:cs="宋体" w:hint="eastAsia"/>
        </w:rPr>
        <w:t>可以使用以下方法来计算替代计算</w:t>
      </w:r>
      <w:r w:rsidR="00284695">
        <w:t xml:space="preserve"> </w:t>
      </w:r>
      <w:r w:rsidR="00284695">
        <w:rPr>
          <w:b/>
        </w:rPr>
        <w:t>(</w:t>
      </w:r>
      <w:r w:rsidR="00284695">
        <w:rPr>
          <w:b/>
          <w:color w:val="C1151A"/>
        </w:rPr>
        <w:t>50</w:t>
      </w:r>
      <w:r w:rsidR="00284695">
        <w:rPr>
          <w:b/>
        </w:rPr>
        <w:t>)</w:t>
      </w:r>
      <w:r w:rsidR="00284695">
        <w:t>:</w:t>
      </w:r>
    </w:p>
    <w:p w14:paraId="39FB1CEE" w14:textId="52DA557B" w:rsidR="0026097E" w:rsidRDefault="00284695">
      <w:pPr>
        <w:tabs>
          <w:tab w:val="center" w:pos="2603"/>
          <w:tab w:val="right" w:pos="5030"/>
        </w:tabs>
        <w:spacing w:after="135" w:line="259" w:lineRule="auto"/>
        <w:ind w:right="-1" w:firstLine="0"/>
        <w:jc w:val="left"/>
      </w:pPr>
      <w:r>
        <w:rPr>
          <w:rFonts w:ascii="Calibri" w:eastAsia="Calibri" w:hAnsi="Calibri" w:cs="Calibri"/>
          <w:color w:val="000000"/>
          <w:sz w:val="22"/>
        </w:rPr>
        <w:tab/>
      </w:r>
      <w:r w:rsidRPr="00176F09">
        <w:rPr>
          <w:sz w:val="28"/>
          <w:szCs w:val="28"/>
        </w:rPr>
        <w:t xml:space="preserve">PK-AF </w:t>
      </w:r>
      <w:r w:rsidR="00DF6756" w:rsidRPr="00176F09">
        <w:rPr>
          <w:rFonts w:asciiTheme="minorEastAsia" w:eastAsiaTheme="minorEastAsia" w:hAnsiTheme="minorEastAsia" w:cs="Univers" w:hint="eastAsia"/>
          <w:sz w:val="28"/>
          <w:szCs w:val="28"/>
        </w:rPr>
        <w:t>=</w:t>
      </w:r>
      <w:r w:rsidRPr="00176F09">
        <w:rPr>
          <w:rFonts w:ascii="Univers" w:eastAsia="Univers" w:hAnsi="Univers" w:cs="Univers"/>
          <w:sz w:val="28"/>
          <w:szCs w:val="28"/>
        </w:rPr>
        <w:t xml:space="preserve"> </w:t>
      </w:r>
      <w:r w:rsidRPr="00176F09">
        <w:rPr>
          <w:sz w:val="28"/>
          <w:szCs w:val="28"/>
        </w:rPr>
        <w:t>1.44*</w:t>
      </w:r>
      <w:r w:rsidRPr="00176F09">
        <w:rPr>
          <w:i/>
          <w:sz w:val="28"/>
          <w:szCs w:val="28"/>
        </w:rPr>
        <w:t xml:space="preserve">t </w:t>
      </w:r>
      <w:r w:rsidRPr="00176F09">
        <w:rPr>
          <w:sz w:val="28"/>
          <w:szCs w:val="28"/>
          <w:vertAlign w:val="subscript"/>
        </w:rPr>
        <w:t>1⁄2</w:t>
      </w:r>
      <w:r w:rsidRPr="00176F09">
        <w:rPr>
          <w:sz w:val="28"/>
          <w:szCs w:val="28"/>
        </w:rPr>
        <w:t>⁄</w:t>
      </w:r>
      <w:r w:rsidRPr="00176F09">
        <w:rPr>
          <w:i/>
          <w:sz w:val="28"/>
          <w:szCs w:val="28"/>
        </w:rPr>
        <w:t>t</w:t>
      </w:r>
      <w:r>
        <w:rPr>
          <w:i/>
          <w:sz w:val="17"/>
        </w:rPr>
        <w:tab/>
      </w:r>
      <w:r>
        <w:rPr>
          <w:sz w:val="17"/>
        </w:rPr>
        <w:t>(7)</w:t>
      </w:r>
    </w:p>
    <w:p w14:paraId="7191BBB0" w14:textId="52860FA0" w:rsidR="0026097E" w:rsidRDefault="00284695" w:rsidP="005F06FF">
      <w:pPr>
        <w:spacing w:after="68" w:line="304" w:lineRule="auto"/>
        <w:ind w:left="-15" w:right="2761" w:firstLineChars="50" w:firstLine="100"/>
      </w:pPr>
      <w:r>
        <w:rPr>
          <w:i/>
        </w:rPr>
        <w:t>t</w:t>
      </w:r>
      <w:r>
        <w:rPr>
          <w:i/>
        </w:rPr>
        <w:tab/>
      </w:r>
      <w:r>
        <w:t xml:space="preserve">= </w:t>
      </w:r>
      <w:r w:rsidR="00873522">
        <w:rPr>
          <w:rFonts w:ascii="宋体" w:eastAsia="宋体" w:hAnsi="宋体" w:cs="宋体" w:hint="eastAsia"/>
        </w:rPr>
        <w:t>加药间隔</w:t>
      </w:r>
      <w:r>
        <w:t>.</w:t>
      </w:r>
    </w:p>
    <w:p w14:paraId="0AE77716" w14:textId="77777777" w:rsidR="00873522" w:rsidRDefault="00284695" w:rsidP="00873522">
      <w:pPr>
        <w:ind w:left="-15"/>
      </w:pPr>
      <w:r>
        <w:t xml:space="preserve">5.8.2.5 </w:t>
      </w:r>
      <w:r w:rsidR="00873522">
        <w:rPr>
          <w:rFonts w:ascii="宋体" w:eastAsia="宋体" w:hAnsi="宋体" w:cs="宋体" w:hint="eastAsia"/>
        </w:rPr>
        <w:t>除了前面的方程式以外，还可以通过使用规定的剂量间隔（以天为单位）每日平均剂量来计算</w:t>
      </w:r>
      <w:r w:rsidR="00873522">
        <w:t>PK-AF</w:t>
      </w:r>
      <w:r w:rsidR="00873522">
        <w:rPr>
          <w:rFonts w:ascii="宋体" w:eastAsia="宋体" w:hAnsi="宋体" w:cs="宋体" w:hint="eastAsia"/>
        </w:rPr>
        <w:t>。例如，如果每周一次给药，则</w:t>
      </w:r>
      <w:r w:rsidR="00873522">
        <w:t>PK-AF</w:t>
      </w:r>
      <w:r w:rsidR="00873522">
        <w:rPr>
          <w:rFonts w:ascii="宋体" w:eastAsia="宋体" w:hAnsi="宋体" w:cs="宋体" w:hint="eastAsia"/>
        </w:rPr>
        <w:t>为</w:t>
      </w:r>
      <w:r w:rsidR="00873522">
        <w:t>7</w:t>
      </w:r>
      <w:r w:rsidR="00873522">
        <w:rPr>
          <w:rFonts w:ascii="宋体" w:eastAsia="宋体" w:hAnsi="宋体" w:cs="宋体" w:hint="eastAsia"/>
        </w:rPr>
        <w:t>。</w:t>
      </w:r>
    </w:p>
    <w:p w14:paraId="14A2B1DD" w14:textId="6CD03333" w:rsidR="0026097E" w:rsidRDefault="00873522" w:rsidP="00873522">
      <w:pPr>
        <w:ind w:left="-15"/>
      </w:pPr>
      <w:r>
        <w:t>5.8.2.6</w:t>
      </w:r>
      <w:r>
        <w:rPr>
          <w:rFonts w:ascii="宋体" w:eastAsia="宋体" w:hAnsi="宋体" w:cs="宋体" w:hint="eastAsia"/>
        </w:rPr>
        <w:t>在处理具有多个半衰期的多隔室模型时，可以咨询药代动力学建模人员</w:t>
      </w:r>
      <w:proofErr w:type="gramStart"/>
      <w:r>
        <w:rPr>
          <w:rFonts w:ascii="宋体" w:eastAsia="宋体" w:hAnsi="宋体" w:cs="宋体" w:hint="eastAsia"/>
        </w:rPr>
        <w:t>以估计</w:t>
      </w:r>
      <w:proofErr w:type="gramEnd"/>
      <w:r>
        <w:rPr>
          <w:rFonts w:ascii="宋体" w:eastAsia="宋体" w:hAnsi="宋体" w:cs="宋体" w:hint="eastAsia"/>
        </w:rPr>
        <w:t>一段时间内的稳态积累。这是通过在每日给药后对</w:t>
      </w:r>
      <w:r>
        <w:t>HBEL</w:t>
      </w:r>
      <w:r>
        <w:rPr>
          <w:rFonts w:ascii="宋体" w:eastAsia="宋体" w:hAnsi="宋体" w:cs="宋体" w:hint="eastAsia"/>
        </w:rPr>
        <w:t>处的估计积累进行建模来实现的。同样重要的是要考虑到，尽管</w:t>
      </w:r>
      <w:r>
        <w:t>PK</w:t>
      </w:r>
      <w:r>
        <w:rPr>
          <w:rFonts w:ascii="宋体" w:eastAsia="宋体" w:hAnsi="宋体" w:cs="宋体" w:hint="eastAsia"/>
        </w:rPr>
        <w:t>积累很重要，但在某些情况下，药物的</w:t>
      </w:r>
      <w:r>
        <w:t>PD</w:t>
      </w:r>
      <w:r>
        <w:rPr>
          <w:rFonts w:ascii="宋体" w:eastAsia="宋体" w:hAnsi="宋体" w:cs="宋体" w:hint="eastAsia"/>
        </w:rPr>
        <w:t>半衰期可能很高。在这些情况下，重要的是咨询</w:t>
      </w:r>
      <w:r>
        <w:t>PD</w:t>
      </w:r>
      <w:r>
        <w:rPr>
          <w:rFonts w:ascii="宋体" w:eastAsia="宋体" w:hAnsi="宋体" w:cs="宋体" w:hint="eastAsia"/>
        </w:rPr>
        <w:t>建模人员以确定在相关的</w:t>
      </w:r>
      <w:r>
        <w:t>HBEL</w:t>
      </w:r>
      <w:r>
        <w:rPr>
          <w:rFonts w:ascii="宋体" w:eastAsia="宋体" w:hAnsi="宋体" w:cs="宋体" w:hint="eastAsia"/>
        </w:rPr>
        <w:t>上合适的</w:t>
      </w:r>
      <w:r>
        <w:t>PK-AF</w:t>
      </w:r>
      <w:r>
        <w:rPr>
          <w:rFonts w:ascii="宋体" w:eastAsia="宋体" w:hAnsi="宋体" w:cs="宋体" w:hint="eastAsia"/>
        </w:rPr>
        <w:t>。另一个重要的考虑因素是间歇性给药的药物，例如肿瘤药物，因为它们具有内在的毒性。在这些情况下，可以使用给药方案确定适当的</w:t>
      </w:r>
      <w:r>
        <w:t>PK-AF</w:t>
      </w:r>
      <w:r>
        <w:rPr>
          <w:rFonts w:ascii="宋体" w:eastAsia="宋体" w:hAnsi="宋体" w:cs="宋体" w:hint="eastAsia"/>
        </w:rPr>
        <w:t>。但是，在这些情况下，应咨询临床医生和毒理学家以确定每日剂量与间歇剂量之间的关系</w:t>
      </w:r>
      <w:r w:rsidR="00284695">
        <w:t>.</w:t>
      </w:r>
    </w:p>
    <w:p w14:paraId="408E33BE" w14:textId="7C124D41" w:rsidR="0026097E" w:rsidRPr="005F06FF" w:rsidRDefault="00284695">
      <w:pPr>
        <w:spacing w:after="48" w:line="248" w:lineRule="auto"/>
        <w:ind w:left="185" w:hanging="10"/>
      </w:pPr>
      <w:r w:rsidRPr="005F06FF">
        <w:t>5.9 AF:</w:t>
      </w:r>
    </w:p>
    <w:p w14:paraId="2A63CC4D" w14:textId="0736659A" w:rsidR="0026097E" w:rsidRPr="005F06FF" w:rsidRDefault="00284695">
      <w:pPr>
        <w:spacing w:after="48" w:line="248" w:lineRule="auto"/>
        <w:ind w:left="185" w:hanging="10"/>
      </w:pPr>
      <w:r w:rsidRPr="005F06FF">
        <w:t>5.9.1</w:t>
      </w:r>
      <w:r w:rsidR="00873522" w:rsidRPr="005F06FF">
        <w:rPr>
          <w:rFonts w:ascii="宋体" w:eastAsia="宋体" w:hAnsi="宋体" w:cs="宋体" w:hint="eastAsia"/>
        </w:rPr>
        <w:t>种间推断</w:t>
      </w:r>
      <w:r w:rsidRPr="005F06FF">
        <w:t>(F1, UF</w:t>
      </w:r>
      <w:r w:rsidRPr="005F06FF">
        <w:rPr>
          <w:vertAlign w:val="subscript"/>
        </w:rPr>
        <w:t>A</w:t>
      </w:r>
      <w:r w:rsidRPr="005F06FF">
        <w:t>):</w:t>
      </w:r>
    </w:p>
    <w:p w14:paraId="4E4938B6" w14:textId="77777777" w:rsidR="00873522" w:rsidRDefault="00284695" w:rsidP="00873522">
      <w:pPr>
        <w:ind w:left="-15"/>
      </w:pPr>
      <w:r>
        <w:t xml:space="preserve">5.9.1.1 </w:t>
      </w:r>
      <w:r w:rsidR="00873522" w:rsidRPr="00544D6C">
        <w:rPr>
          <w:rFonts w:ascii="宋体" w:eastAsia="宋体" w:hAnsi="宋体" w:cs="宋体" w:hint="eastAsia"/>
          <w:highlight w:val="yellow"/>
        </w:rPr>
        <w:t>只要有可能，就应使用有关人类的数据，从而避免与种间推断有关的其他不确定性。</w:t>
      </w:r>
      <w:proofErr w:type="gramStart"/>
      <w:r w:rsidR="00873522" w:rsidRPr="00544D6C">
        <w:rPr>
          <w:rFonts w:ascii="宋体" w:eastAsia="宋体" w:hAnsi="宋体" w:cs="宋体" w:hint="eastAsia"/>
          <w:highlight w:val="yellow"/>
        </w:rPr>
        <w:t>当有效</w:t>
      </w:r>
      <w:proofErr w:type="gramEnd"/>
      <w:r w:rsidR="00873522" w:rsidRPr="00544D6C">
        <w:rPr>
          <w:rFonts w:ascii="宋体" w:eastAsia="宋体" w:hAnsi="宋体" w:cs="宋体" w:hint="eastAsia"/>
          <w:highlight w:val="yellow"/>
        </w:rPr>
        <w:t>的人类数据</w:t>
      </w:r>
      <w:proofErr w:type="gramStart"/>
      <w:r w:rsidR="00873522" w:rsidRPr="00544D6C">
        <w:rPr>
          <w:rFonts w:ascii="宋体" w:eastAsia="宋体" w:hAnsi="宋体" w:cs="宋体" w:hint="eastAsia"/>
          <w:highlight w:val="yellow"/>
        </w:rPr>
        <w:t>不</w:t>
      </w:r>
      <w:proofErr w:type="gramEnd"/>
      <w:r w:rsidR="00873522" w:rsidRPr="00544D6C">
        <w:rPr>
          <w:rFonts w:ascii="宋体" w:eastAsia="宋体" w:hAnsi="宋体" w:cs="宋体" w:hint="eastAsia"/>
          <w:highlight w:val="yellow"/>
        </w:rPr>
        <w:t>可用或不足时，可以从动物研究中选择</w:t>
      </w:r>
      <w:proofErr w:type="spellStart"/>
      <w:r w:rsidR="00873522" w:rsidRPr="00544D6C">
        <w:rPr>
          <w:highlight w:val="yellow"/>
        </w:rPr>
        <w:t>PoD</w:t>
      </w:r>
      <w:proofErr w:type="spellEnd"/>
      <w:r w:rsidR="00873522">
        <w:rPr>
          <w:rFonts w:ascii="宋体" w:eastAsia="宋体" w:hAnsi="宋体" w:cs="宋体" w:hint="eastAsia"/>
        </w:rPr>
        <w:t>。当从动物研究中选择</w:t>
      </w:r>
      <w:proofErr w:type="spellStart"/>
      <w:r w:rsidR="00873522">
        <w:t>PoD</w:t>
      </w:r>
      <w:proofErr w:type="spellEnd"/>
      <w:r w:rsidR="00873522">
        <w:rPr>
          <w:rFonts w:ascii="宋体" w:eastAsia="宋体" w:hAnsi="宋体" w:cs="宋体" w:hint="eastAsia"/>
        </w:rPr>
        <w:t>时，</w:t>
      </w:r>
      <w:r w:rsidR="00873522">
        <w:t>F1 AF</w:t>
      </w:r>
      <w:r w:rsidR="00873522">
        <w:rPr>
          <w:rFonts w:ascii="宋体" w:eastAsia="宋体" w:hAnsi="宋体" w:cs="宋体" w:hint="eastAsia"/>
        </w:rPr>
        <w:t>可以解释从动物到人的种间推断。</w:t>
      </w:r>
    </w:p>
    <w:p w14:paraId="3B2CE62F" w14:textId="6A117F4C" w:rsidR="0026097E" w:rsidRDefault="00873522" w:rsidP="00873522">
      <w:pPr>
        <w:ind w:left="-15"/>
      </w:pPr>
      <w:r>
        <w:t>5.9.1.2 F1</w:t>
      </w:r>
      <w:r>
        <w:rPr>
          <w:rFonts w:ascii="宋体" w:eastAsia="宋体" w:hAnsi="宋体" w:cs="宋体" w:hint="eastAsia"/>
        </w:rPr>
        <w:t>因子取决于物种和</w:t>
      </w:r>
      <w:proofErr w:type="spellStart"/>
      <w:r>
        <w:t>PoD</w:t>
      </w:r>
      <w:proofErr w:type="spellEnd"/>
      <w:r>
        <w:rPr>
          <w:rFonts w:ascii="宋体" w:eastAsia="宋体" w:hAnsi="宋体" w:cs="宋体" w:hint="eastAsia"/>
        </w:rPr>
        <w:t>。关于小分子</w:t>
      </w:r>
      <w:r>
        <w:t>[ICH Q3C</w:t>
      </w:r>
      <w:r>
        <w:rPr>
          <w:rFonts w:ascii="宋体" w:eastAsia="宋体" w:hAnsi="宋体" w:cs="宋体" w:hint="eastAsia"/>
        </w:rPr>
        <w:t>（</w:t>
      </w:r>
      <w:r>
        <w:t>R6</w:t>
      </w:r>
      <w:r>
        <w:rPr>
          <w:rFonts w:ascii="宋体" w:eastAsia="宋体" w:hAnsi="宋体" w:cs="宋体" w:hint="eastAsia"/>
        </w:rPr>
        <w:t>）</w:t>
      </w:r>
      <w:r>
        <w:t>]</w:t>
      </w:r>
      <w:r>
        <w:rPr>
          <w:rFonts w:ascii="宋体" w:eastAsia="宋体" w:hAnsi="宋体" w:cs="宋体" w:hint="eastAsia"/>
        </w:rPr>
        <w:t>的种间外推，有一些指导性文件可用（</w:t>
      </w:r>
      <w:r>
        <w:t>58</w:t>
      </w:r>
      <w:r>
        <w:rPr>
          <w:rFonts w:ascii="宋体" w:eastAsia="宋体" w:hAnsi="宋体" w:cs="宋体" w:hint="eastAsia"/>
        </w:rPr>
        <w:t>、</w:t>
      </w:r>
      <w:r>
        <w:t>69</w:t>
      </w:r>
      <w:r>
        <w:rPr>
          <w:rFonts w:ascii="宋体" w:eastAsia="宋体" w:hAnsi="宋体" w:cs="宋体" w:hint="eastAsia"/>
        </w:rPr>
        <w:t>、</w:t>
      </w:r>
      <w:r>
        <w:t>70</w:t>
      </w:r>
      <w:r>
        <w:rPr>
          <w:rFonts w:ascii="宋体" w:eastAsia="宋体" w:hAnsi="宋体" w:cs="宋体" w:hint="eastAsia"/>
        </w:rPr>
        <w:t>）。种间外推的首选方法的推荐层次结构是，</w:t>
      </w:r>
      <w:r w:rsidRPr="00544D6C">
        <w:rPr>
          <w:rFonts w:ascii="宋体" w:eastAsia="宋体" w:hAnsi="宋体" w:cs="宋体" w:hint="eastAsia"/>
          <w:highlight w:val="yellow"/>
        </w:rPr>
        <w:t>首先依靠药效</w:t>
      </w:r>
      <w:proofErr w:type="gramStart"/>
      <w:r w:rsidRPr="00544D6C">
        <w:rPr>
          <w:rFonts w:ascii="宋体" w:eastAsia="宋体" w:hAnsi="宋体" w:cs="宋体" w:hint="eastAsia"/>
          <w:highlight w:val="yellow"/>
        </w:rPr>
        <w:t>动力学动力学</w:t>
      </w:r>
      <w:proofErr w:type="gramEnd"/>
      <w:r w:rsidRPr="00544D6C">
        <w:rPr>
          <w:rFonts w:ascii="宋体" w:eastAsia="宋体" w:hAnsi="宋体" w:cs="宋体" w:hint="eastAsia"/>
          <w:highlight w:val="yellow"/>
        </w:rPr>
        <w:t>数据，其次依靠化学特异性数据（</w:t>
      </w:r>
      <w:r w:rsidRPr="00544D6C">
        <w:rPr>
          <w:highlight w:val="yellow"/>
        </w:rPr>
        <w:t>70</w:t>
      </w:r>
      <w:r w:rsidRPr="00544D6C">
        <w:rPr>
          <w:rFonts w:ascii="宋体" w:eastAsia="宋体" w:hAnsi="宋体" w:cs="宋体" w:hint="eastAsia"/>
          <w:highlight w:val="yellow"/>
        </w:rPr>
        <w:t>）。但是，通常这些数据</w:t>
      </w:r>
      <w:proofErr w:type="gramStart"/>
      <w:r w:rsidRPr="00544D6C">
        <w:rPr>
          <w:rFonts w:ascii="宋体" w:eastAsia="宋体" w:hAnsi="宋体" w:cs="宋体" w:hint="eastAsia"/>
          <w:highlight w:val="yellow"/>
        </w:rPr>
        <w:t>不</w:t>
      </w:r>
      <w:proofErr w:type="gramEnd"/>
      <w:r w:rsidRPr="00544D6C">
        <w:rPr>
          <w:rFonts w:ascii="宋体" w:eastAsia="宋体" w:hAnsi="宋体" w:cs="宋体" w:hint="eastAsia"/>
          <w:highlight w:val="yellow"/>
        </w:rPr>
        <w:t>可用，因此，第三条建议是依靠经验得出的比例因子（</w:t>
      </w:r>
      <w:r w:rsidRPr="00544D6C">
        <w:rPr>
          <w:highlight w:val="yellow"/>
        </w:rPr>
        <w:t>70</w:t>
      </w:r>
      <w:r w:rsidRPr="00544D6C">
        <w:rPr>
          <w:rFonts w:ascii="宋体" w:eastAsia="宋体" w:hAnsi="宋体" w:cs="宋体" w:hint="eastAsia"/>
          <w:highlight w:val="yellow"/>
        </w:rPr>
        <w:t>）。一些重要的代谢和生理功能可以按体重缩放至四分之三（</w:t>
      </w:r>
      <w:r w:rsidRPr="00544D6C">
        <w:rPr>
          <w:highlight w:val="yellow"/>
        </w:rPr>
        <w:t>BW3 / 4</w:t>
      </w:r>
      <w:r w:rsidRPr="00544D6C">
        <w:rPr>
          <w:rFonts w:ascii="宋体" w:eastAsia="宋体" w:hAnsi="宋体" w:cs="宋体" w:hint="eastAsia"/>
          <w:highlight w:val="yellow"/>
        </w:rPr>
        <w:t>），因此，基于</w:t>
      </w:r>
      <w:r w:rsidRPr="00544D6C">
        <w:rPr>
          <w:highlight w:val="yellow"/>
        </w:rPr>
        <w:t>BW3 / 4</w:t>
      </w:r>
      <w:r w:rsidRPr="00544D6C">
        <w:rPr>
          <w:rFonts w:ascii="宋体" w:eastAsia="宋体" w:hAnsi="宋体" w:cs="宋体" w:hint="eastAsia"/>
          <w:highlight w:val="yellow"/>
        </w:rPr>
        <w:t>的异速生长比例因子通常用作种间外推物种的默认值（</w:t>
      </w:r>
      <w:r w:rsidRPr="00544D6C">
        <w:rPr>
          <w:highlight w:val="yellow"/>
        </w:rPr>
        <w:t>70</w:t>
      </w:r>
      <w:r w:rsidRPr="00544D6C">
        <w:rPr>
          <w:rFonts w:ascii="宋体" w:eastAsia="宋体" w:hAnsi="宋体" w:cs="宋体" w:hint="eastAsia"/>
          <w:highlight w:val="yellow"/>
        </w:rPr>
        <w:t>）</w:t>
      </w:r>
      <w:r>
        <w:rPr>
          <w:rFonts w:ascii="宋体" w:eastAsia="宋体" w:hAnsi="宋体" w:cs="宋体" w:hint="eastAsia"/>
        </w:rPr>
        <w:t>。但是请注意，尽管该因子适合预测</w:t>
      </w:r>
      <w:r>
        <w:t>5</w:t>
      </w:r>
      <w:r>
        <w:rPr>
          <w:rFonts w:ascii="宋体" w:eastAsia="宋体" w:hAnsi="宋体" w:cs="宋体" w:hint="eastAsia"/>
        </w:rPr>
        <w:t>岁以上儿童和青少年的清除率，但对于</w:t>
      </w:r>
      <w:r>
        <w:t>2</w:t>
      </w:r>
      <w:r>
        <w:rPr>
          <w:rFonts w:ascii="宋体" w:eastAsia="宋体" w:hAnsi="宋体" w:cs="宋体" w:hint="eastAsia"/>
        </w:rPr>
        <w:t>岁以下的儿童却产生了巨大的预测误差，尽管最近有一个早产至</w:t>
      </w:r>
      <w:r>
        <w:t>2</w:t>
      </w:r>
      <w:r>
        <w:rPr>
          <w:rFonts w:ascii="宋体" w:eastAsia="宋体" w:hAnsi="宋体" w:cs="宋体" w:hint="eastAsia"/>
        </w:rPr>
        <w:t>岁儿童的预测模型</w:t>
      </w:r>
      <w:r>
        <w:rPr>
          <w:rFonts w:ascii="宋体" w:eastAsia="宋体" w:hAnsi="宋体" w:cs="宋体" w:hint="eastAsia"/>
        </w:rPr>
        <w:t>已开发（</w:t>
      </w:r>
      <w:r>
        <w:t>71-73</w:t>
      </w:r>
      <w:r>
        <w:rPr>
          <w:rFonts w:ascii="宋体" w:eastAsia="宋体" w:hAnsi="宋体" w:cs="宋体" w:hint="eastAsia"/>
        </w:rPr>
        <w:t>）。也可以使用常规方法，其中直接比较</w:t>
      </w:r>
      <w:r>
        <w:t>AUC</w:t>
      </w:r>
      <w:r>
        <w:rPr>
          <w:rFonts w:ascii="宋体" w:eastAsia="宋体" w:hAnsi="宋体" w:cs="宋体" w:hint="eastAsia"/>
        </w:rPr>
        <w:t>可以消除动物和人之间对</w:t>
      </w:r>
      <w:r>
        <w:t>PK</w:t>
      </w:r>
      <w:r>
        <w:rPr>
          <w:rFonts w:ascii="宋体" w:eastAsia="宋体" w:hAnsi="宋体" w:cs="宋体" w:hint="eastAsia"/>
        </w:rPr>
        <w:t>调节因子的需要。同样，存在针对蛋白质疗法的种间缩放的指南（</w:t>
      </w:r>
      <w:r>
        <w:t>74-76</w:t>
      </w:r>
      <w:r>
        <w:rPr>
          <w:rFonts w:ascii="宋体" w:eastAsia="宋体" w:hAnsi="宋体" w:cs="宋体" w:hint="eastAsia"/>
        </w:rPr>
        <w:t>）</w:t>
      </w:r>
      <w:r w:rsidR="00284695">
        <w:t>.</w:t>
      </w:r>
    </w:p>
    <w:p w14:paraId="254DD17D" w14:textId="77777777" w:rsidR="00873522" w:rsidRDefault="00284695" w:rsidP="00873522">
      <w:pPr>
        <w:ind w:left="-15"/>
      </w:pPr>
      <w:r>
        <w:t xml:space="preserve">5.9.1.3 </w:t>
      </w:r>
      <w:r w:rsidR="00873522">
        <w:rPr>
          <w:rFonts w:ascii="宋体" w:eastAsia="宋体" w:hAnsi="宋体" w:cs="宋体" w:hint="eastAsia"/>
        </w:rPr>
        <w:t>根据指南，表</w:t>
      </w:r>
      <w:r w:rsidR="00873522">
        <w:t>2</w:t>
      </w:r>
      <w:r w:rsidR="00873522">
        <w:rPr>
          <w:rFonts w:ascii="宋体" w:eastAsia="宋体" w:hAnsi="宋体" w:cs="宋体" w:hint="eastAsia"/>
        </w:rPr>
        <w:t>中应使用的修改因子。</w:t>
      </w:r>
    </w:p>
    <w:p w14:paraId="1AE8D157" w14:textId="356A7FC7" w:rsidR="0026097E" w:rsidRDefault="00873522" w:rsidP="00873522">
      <w:pPr>
        <w:ind w:left="-15"/>
      </w:pPr>
      <w:r>
        <w:t>5.9.1.4</w:t>
      </w:r>
      <w:r w:rsidRPr="00544D6C">
        <w:rPr>
          <w:rFonts w:ascii="宋体" w:eastAsia="宋体" w:hAnsi="宋体" w:cs="宋体" w:hint="eastAsia"/>
          <w:highlight w:val="yellow"/>
        </w:rPr>
        <w:t>尽管</w:t>
      </w:r>
      <w:r w:rsidRPr="00544D6C">
        <w:rPr>
          <w:highlight w:val="yellow"/>
        </w:rPr>
        <w:t>ICH Q3C</w:t>
      </w:r>
      <w:r w:rsidRPr="00544D6C">
        <w:rPr>
          <w:rFonts w:ascii="宋体" w:eastAsia="宋体" w:hAnsi="宋体" w:cs="宋体" w:hint="eastAsia"/>
          <w:highlight w:val="yellow"/>
        </w:rPr>
        <w:t>建议其他动物的</w:t>
      </w:r>
      <w:r w:rsidRPr="00544D6C">
        <w:rPr>
          <w:highlight w:val="yellow"/>
        </w:rPr>
        <w:t>F1 = 10</w:t>
      </w:r>
      <w:r w:rsidRPr="00544D6C">
        <w:rPr>
          <w:rFonts w:ascii="宋体" w:eastAsia="宋体" w:hAnsi="宋体" w:cs="宋体" w:hint="eastAsia"/>
          <w:highlight w:val="yellow"/>
        </w:rPr>
        <w:t>，但也可以通过计算该物种与人的比较体表面积：体重比来计算其他物种的</w:t>
      </w:r>
      <w:r w:rsidRPr="00544D6C">
        <w:rPr>
          <w:highlight w:val="yellow"/>
        </w:rPr>
        <w:t>F1</w:t>
      </w:r>
      <w:r w:rsidRPr="00544D6C">
        <w:rPr>
          <w:rFonts w:ascii="宋体" w:eastAsia="宋体" w:hAnsi="宋体" w:cs="宋体" w:hint="eastAsia"/>
          <w:highlight w:val="yellow"/>
        </w:rPr>
        <w:t>因子。</w:t>
      </w:r>
      <w:r w:rsidRPr="00544D6C">
        <w:rPr>
          <w:highlight w:val="yellow"/>
        </w:rPr>
        <w:t xml:space="preserve"> </w:t>
      </w:r>
      <w:r w:rsidRPr="00544D6C">
        <w:rPr>
          <w:rFonts w:ascii="宋体" w:eastAsia="宋体" w:hAnsi="宋体" w:cs="宋体" w:hint="eastAsia"/>
          <w:highlight w:val="yellow"/>
        </w:rPr>
        <w:t>表面计算为</w:t>
      </w:r>
      <w:r w:rsidR="00284695" w:rsidRPr="00544D6C">
        <w:rPr>
          <w:highlight w:val="yellow"/>
        </w:rPr>
        <w:t>:</w:t>
      </w:r>
    </w:p>
    <w:p w14:paraId="70B3A489" w14:textId="23F4A1C6" w:rsidR="0026097E" w:rsidRDefault="00284695">
      <w:pPr>
        <w:tabs>
          <w:tab w:val="center" w:pos="2609"/>
          <w:tab w:val="right" w:pos="5030"/>
        </w:tabs>
        <w:spacing w:after="153" w:line="259" w:lineRule="auto"/>
        <w:ind w:right="-1" w:firstLine="0"/>
        <w:jc w:val="left"/>
      </w:pPr>
      <w:r>
        <w:rPr>
          <w:rFonts w:ascii="Calibri" w:eastAsia="Calibri" w:hAnsi="Calibri" w:cs="Calibri"/>
          <w:color w:val="000000"/>
          <w:sz w:val="22"/>
        </w:rPr>
        <w:tab/>
      </w:r>
      <w:r w:rsidRPr="00176F09">
        <w:rPr>
          <w:i/>
          <w:sz w:val="24"/>
          <w:szCs w:val="24"/>
        </w:rPr>
        <w:t>S</w:t>
      </w:r>
      <w:r w:rsidR="00873522" w:rsidRPr="00176F09">
        <w:rPr>
          <w:rFonts w:asciiTheme="minorEastAsia" w:eastAsiaTheme="minorEastAsia" w:hAnsiTheme="minorEastAsia" w:cs="Univers" w:hint="eastAsia"/>
          <w:sz w:val="24"/>
          <w:szCs w:val="24"/>
        </w:rPr>
        <w:t>=</w:t>
      </w:r>
      <w:r w:rsidRPr="00176F09">
        <w:rPr>
          <w:rFonts w:ascii="Univers" w:eastAsia="Univers" w:hAnsi="Univers" w:cs="Univers"/>
          <w:sz w:val="24"/>
          <w:szCs w:val="24"/>
        </w:rPr>
        <w:t xml:space="preserve"> </w:t>
      </w:r>
      <w:proofErr w:type="spellStart"/>
      <w:r w:rsidRPr="00176F09">
        <w:rPr>
          <w:i/>
          <w:sz w:val="24"/>
          <w:szCs w:val="24"/>
        </w:rPr>
        <w:t>kM</w:t>
      </w:r>
      <w:proofErr w:type="spellEnd"/>
      <w:r w:rsidRPr="00176F09">
        <w:rPr>
          <w:i/>
          <w:sz w:val="24"/>
          <w:szCs w:val="24"/>
          <w:vertAlign w:val="superscript"/>
        </w:rPr>
        <w:t xml:space="preserve"> </w:t>
      </w:r>
      <w:r w:rsidRPr="00176F09">
        <w:rPr>
          <w:sz w:val="24"/>
          <w:szCs w:val="24"/>
          <w:vertAlign w:val="superscript"/>
        </w:rPr>
        <w:t>0.67</w:t>
      </w:r>
      <w:r>
        <w:rPr>
          <w:sz w:val="10"/>
        </w:rPr>
        <w:tab/>
      </w:r>
      <w:r>
        <w:rPr>
          <w:sz w:val="17"/>
        </w:rPr>
        <w:t>(8)</w:t>
      </w:r>
    </w:p>
    <w:p w14:paraId="65C6FC73" w14:textId="309EA733" w:rsidR="0026097E" w:rsidRDefault="00284695" w:rsidP="00DF6756">
      <w:pPr>
        <w:spacing w:after="103"/>
        <w:ind w:left="-15" w:right="1343" w:firstLine="0"/>
      </w:pPr>
      <w:r>
        <w:rPr>
          <w:i/>
        </w:rPr>
        <w:t>M</w:t>
      </w:r>
      <w:r>
        <w:rPr>
          <w:i/>
        </w:rPr>
        <w:tab/>
      </w:r>
      <w:r>
        <w:t xml:space="preserve">= </w:t>
      </w:r>
      <w:r w:rsidR="00DF6756">
        <w:rPr>
          <w:rFonts w:ascii="宋体" w:eastAsia="宋体" w:hAnsi="宋体" w:cs="宋体" w:hint="eastAsia"/>
        </w:rPr>
        <w:t>身体质量</w:t>
      </w:r>
      <w:r>
        <w:t xml:space="preserve">, </w:t>
      </w:r>
      <w:r>
        <w:rPr>
          <w:i/>
        </w:rPr>
        <w:t>k</w:t>
      </w:r>
      <w:r>
        <w:rPr>
          <w:i/>
        </w:rPr>
        <w:tab/>
      </w:r>
      <w:r>
        <w:t>=</w:t>
      </w:r>
      <w:r w:rsidR="00DF6756">
        <w:t xml:space="preserve">10 </w:t>
      </w:r>
      <w:r w:rsidR="00DF6756">
        <w:rPr>
          <w:rFonts w:ascii="宋体" w:eastAsia="宋体" w:hAnsi="宋体" w:cs="宋体" w:hint="eastAsia"/>
        </w:rPr>
        <w:t>的常数</w:t>
      </w:r>
      <w:r>
        <w:t>.</w:t>
      </w:r>
    </w:p>
    <w:p w14:paraId="59767927" w14:textId="77777777" w:rsidR="00DF6756" w:rsidRDefault="00284695" w:rsidP="00DF6756">
      <w:pPr>
        <w:ind w:left="-15"/>
      </w:pPr>
      <w:r>
        <w:t>5.9.1.5</w:t>
      </w:r>
      <w:r w:rsidR="00DF6756">
        <w:rPr>
          <w:rFonts w:ascii="宋体" w:eastAsia="宋体" w:hAnsi="宋体" w:cs="宋体" w:hint="eastAsia"/>
        </w:rPr>
        <w:t>有关基于表面积差异计算</w:t>
      </w:r>
      <w:r w:rsidR="00DF6756">
        <w:t>AF</w:t>
      </w:r>
      <w:r w:rsidR="00DF6756">
        <w:rPr>
          <w:rFonts w:ascii="宋体" w:eastAsia="宋体" w:hAnsi="宋体" w:cs="宋体" w:hint="eastAsia"/>
        </w:rPr>
        <w:t>的进一步指导，可在其他地方找到（</w:t>
      </w:r>
      <w:r w:rsidR="00DF6756">
        <w:t>54-56</w:t>
      </w:r>
      <w:r w:rsidR="00DF6756">
        <w:rPr>
          <w:rFonts w:ascii="宋体" w:eastAsia="宋体" w:hAnsi="宋体" w:cs="宋体" w:hint="eastAsia"/>
        </w:rPr>
        <w:t>）。</w:t>
      </w:r>
    </w:p>
    <w:p w14:paraId="47125B89" w14:textId="3112BFF6" w:rsidR="0026097E" w:rsidRDefault="00DF6756" w:rsidP="00DF6756">
      <w:pPr>
        <w:ind w:left="-15"/>
      </w:pPr>
      <w:r>
        <w:t>5.9.2</w:t>
      </w:r>
      <w:r>
        <w:rPr>
          <w:rFonts w:ascii="宋体" w:eastAsia="宋体" w:hAnsi="宋体" w:cs="宋体" w:hint="eastAsia"/>
        </w:rPr>
        <w:t>个体间变异性，种内变异性和人类变异性（</w:t>
      </w:r>
      <w:r>
        <w:t>F2</w:t>
      </w:r>
      <w:r>
        <w:rPr>
          <w:rFonts w:ascii="宋体" w:eastAsia="宋体" w:hAnsi="宋体" w:cs="宋体" w:hint="eastAsia"/>
        </w:rPr>
        <w:t>，</w:t>
      </w:r>
      <w:r>
        <w:t>UFH</w:t>
      </w:r>
      <w:r>
        <w:rPr>
          <w:rFonts w:ascii="宋体" w:eastAsia="宋体" w:hAnsi="宋体" w:cs="宋体" w:hint="eastAsia"/>
        </w:rPr>
        <w:t>）</w:t>
      </w:r>
      <w:r>
        <w:t>-</w:t>
      </w:r>
      <w:r>
        <w:rPr>
          <w:rFonts w:ascii="宋体" w:eastAsia="宋体" w:hAnsi="宋体" w:cs="宋体" w:hint="eastAsia"/>
        </w:rPr>
        <w:t>该因素也称为人际变异性，说明了所评估人群中的变异性。</w:t>
      </w:r>
      <w:r>
        <w:t xml:space="preserve"> </w:t>
      </w:r>
      <w:r>
        <w:rPr>
          <w:rFonts w:ascii="宋体" w:eastAsia="宋体" w:hAnsi="宋体" w:cs="宋体" w:hint="eastAsia"/>
        </w:rPr>
        <w:t>对于给定的化合物，</w:t>
      </w:r>
      <w:r>
        <w:t>PK</w:t>
      </w:r>
      <w:r>
        <w:rPr>
          <w:rFonts w:ascii="宋体" w:eastAsia="宋体" w:hAnsi="宋体" w:cs="宋体" w:hint="eastAsia"/>
        </w:rPr>
        <w:t>和</w:t>
      </w:r>
      <w:r>
        <w:t>PD</w:t>
      </w:r>
      <w:r>
        <w:rPr>
          <w:rFonts w:ascii="宋体" w:eastAsia="宋体" w:hAnsi="宋体" w:cs="宋体" w:hint="eastAsia"/>
        </w:rPr>
        <w:t>反应取决于个体。</w:t>
      </w:r>
      <w:r>
        <w:t xml:space="preserve"> </w:t>
      </w:r>
      <w:r>
        <w:rPr>
          <w:rFonts w:ascii="宋体" w:eastAsia="宋体" w:hAnsi="宋体" w:cs="宋体" w:hint="eastAsia"/>
        </w:rPr>
        <w:t>年龄，性别，怀孕，总体健康，营养，药物相互作用，代谢方面的考虑因素或遗传因素会影响个体的暴露以及药理或毒理反应，因此在本</w:t>
      </w:r>
      <w:r>
        <w:t>AF</w:t>
      </w:r>
      <w:r>
        <w:rPr>
          <w:rFonts w:ascii="宋体" w:eastAsia="宋体" w:hAnsi="宋体" w:cs="宋体" w:hint="eastAsia"/>
        </w:rPr>
        <w:t>中予以考虑。</w:t>
      </w:r>
      <w:r>
        <w:t xml:space="preserve"> </w:t>
      </w:r>
      <w:r w:rsidRPr="00AC4723">
        <w:rPr>
          <w:rFonts w:ascii="宋体" w:eastAsia="宋体" w:hAnsi="宋体" w:cs="宋体" w:hint="eastAsia"/>
          <w:highlight w:val="yellow"/>
        </w:rPr>
        <w:t>历史上，风险评估中使用默认因子</w:t>
      </w:r>
      <w:r w:rsidRPr="00AC4723">
        <w:rPr>
          <w:highlight w:val="yellow"/>
        </w:rPr>
        <w:t>10</w:t>
      </w:r>
      <w:r>
        <w:rPr>
          <w:rFonts w:ascii="宋体" w:eastAsia="宋体" w:hAnsi="宋体" w:cs="宋体" w:hint="eastAsia"/>
        </w:rPr>
        <w:t>来说明个体间的变异性（人类敏感反应的平均值）</w:t>
      </w:r>
      <w:r w:rsidR="00284695">
        <w:t xml:space="preserve"> </w:t>
      </w:r>
      <w:r w:rsidR="00284695">
        <w:rPr>
          <w:b/>
        </w:rPr>
        <w:t>(</w:t>
      </w:r>
      <w:r w:rsidR="00284695">
        <w:rPr>
          <w:b/>
          <w:color w:val="C1151A"/>
        </w:rPr>
        <w:t>62</w:t>
      </w:r>
      <w:r w:rsidR="00284695">
        <w:rPr>
          <w:b/>
        </w:rPr>
        <w:t xml:space="preserve">, </w:t>
      </w:r>
      <w:r w:rsidR="00284695">
        <w:rPr>
          <w:b/>
          <w:color w:val="C1151A"/>
        </w:rPr>
        <w:t>63</w:t>
      </w:r>
      <w:r w:rsidR="00284695">
        <w:rPr>
          <w:b/>
        </w:rPr>
        <w:t xml:space="preserve">, </w:t>
      </w:r>
      <w:r w:rsidR="00284695">
        <w:rPr>
          <w:b/>
          <w:color w:val="C1151A"/>
        </w:rPr>
        <w:t>77</w:t>
      </w:r>
      <w:r w:rsidR="00284695">
        <w:rPr>
          <w:b/>
        </w:rPr>
        <w:t>)</w:t>
      </w:r>
      <w:r w:rsidR="00284695">
        <w:t>.</w:t>
      </w:r>
    </w:p>
    <w:p w14:paraId="264E7F5F" w14:textId="596517D5" w:rsidR="0026097E" w:rsidRPr="005F06FF" w:rsidRDefault="00284695">
      <w:pPr>
        <w:spacing w:after="20" w:line="248" w:lineRule="auto"/>
        <w:ind w:left="185" w:hanging="10"/>
      </w:pPr>
      <w:r w:rsidRPr="005F06FF">
        <w:t xml:space="preserve">5.9.2.1 </w:t>
      </w:r>
      <w:r w:rsidR="00DF6756" w:rsidRPr="005F06FF">
        <w:rPr>
          <w:rFonts w:ascii="宋体" w:eastAsia="宋体" w:hAnsi="宋体" w:cs="宋体" w:hint="eastAsia"/>
        </w:rPr>
        <w:t>化学特定调整因子（</w:t>
      </w:r>
      <w:r w:rsidR="00DF6756" w:rsidRPr="005F06FF">
        <w:t>CSAF</w:t>
      </w:r>
      <w:r w:rsidR="00DF6756" w:rsidRPr="005F06FF">
        <w:rPr>
          <w:rFonts w:ascii="宋体" w:eastAsia="宋体" w:hAnsi="宋体" w:cs="宋体" w:hint="eastAsia"/>
        </w:rPr>
        <w:t>）</w:t>
      </w:r>
      <w:r w:rsidRPr="005F06FF">
        <w:t>:</w:t>
      </w:r>
    </w:p>
    <w:p w14:paraId="2C7928DE" w14:textId="7C5EE192" w:rsidR="0026097E" w:rsidRDefault="00DF6756">
      <w:pPr>
        <w:numPr>
          <w:ilvl w:val="0"/>
          <w:numId w:val="7"/>
        </w:numPr>
        <w:spacing w:after="97"/>
        <w:ind w:firstLine="309"/>
      </w:pPr>
      <w:r w:rsidRPr="005F06FF">
        <w:t>Renwick</w:t>
      </w:r>
      <w:r w:rsidRPr="005F06FF">
        <w:rPr>
          <w:rFonts w:ascii="宋体" w:eastAsia="宋体" w:hAnsi="宋体" w:cs="宋体" w:hint="eastAsia"/>
        </w:rPr>
        <w:t>是第一个提出</w:t>
      </w:r>
      <w:r w:rsidRPr="005F06FF">
        <w:t>CSAF</w:t>
      </w:r>
      <w:r w:rsidRPr="005F06FF">
        <w:rPr>
          <w:rFonts w:ascii="宋体" w:eastAsia="宋体" w:hAnsi="宋体" w:cs="宋体" w:hint="eastAsia"/>
        </w:rPr>
        <w:t>方法的人，他指出十倍默认种间外推法和个体间变异性评估因子都可以被视为动力学和动态子因子相等的乘积，即</w:t>
      </w:r>
      <w:r w:rsidRPr="005F06FF">
        <w:t>3.16</w:t>
      </w:r>
      <w:r w:rsidRPr="005F06FF">
        <w:rPr>
          <w:rFonts w:ascii="宋体" w:eastAsia="宋体" w:hAnsi="宋体" w:cs="宋体" w:hint="eastAsia"/>
        </w:rPr>
        <w:t>，因此（</w:t>
      </w:r>
      <w:r w:rsidRPr="005F06FF">
        <w:t>10</w:t>
      </w:r>
      <w:r w:rsidRPr="005F06FF">
        <w:rPr>
          <w:rFonts w:ascii="宋体" w:eastAsia="宋体" w:hAnsi="宋体" w:cs="宋体" w:hint="eastAsia"/>
        </w:rPr>
        <w:t>）</w:t>
      </w:r>
      <w:r w:rsidRPr="005F06FF">
        <w:t>0.5 = 3.16</w:t>
      </w:r>
      <w:r w:rsidRPr="005F06FF">
        <w:rPr>
          <w:rFonts w:ascii="宋体" w:eastAsia="宋体" w:hAnsi="宋体" w:cs="宋体" w:hint="eastAsia"/>
        </w:rPr>
        <w:t>，并且该化学特</w:t>
      </w:r>
      <w:r w:rsidRPr="00DF6756">
        <w:rPr>
          <w:rFonts w:ascii="宋体" w:eastAsia="宋体" w:hAnsi="宋体" w:cs="宋体" w:hint="eastAsia"/>
        </w:rPr>
        <w:t>异性数据可用于修改默认子因子值（</w:t>
      </w:r>
      <w:r w:rsidRPr="00DF6756">
        <w:t>78</w:t>
      </w:r>
      <w:r w:rsidRPr="00DF6756">
        <w:rPr>
          <w:rFonts w:ascii="宋体" w:eastAsia="宋体" w:hAnsi="宋体" w:cs="宋体" w:hint="eastAsia"/>
        </w:rPr>
        <w:t>）。随后，</w:t>
      </w:r>
      <w:r w:rsidRPr="00DF6756">
        <w:t>Renwick</w:t>
      </w:r>
      <w:r w:rsidRPr="00DF6756">
        <w:rPr>
          <w:rFonts w:ascii="宋体" w:eastAsia="宋体" w:hAnsi="宋体" w:cs="宋体" w:hint="eastAsia"/>
        </w:rPr>
        <w:t>和</w:t>
      </w:r>
      <w:r w:rsidRPr="00DF6756">
        <w:t>Lazarus</w:t>
      </w:r>
      <w:r w:rsidRPr="00DF6756">
        <w:rPr>
          <w:rFonts w:ascii="宋体" w:eastAsia="宋体" w:hAnsi="宋体" w:cs="宋体" w:hint="eastAsia"/>
        </w:rPr>
        <w:t>修改了最初提出的</w:t>
      </w:r>
      <w:r w:rsidRPr="00DF6756">
        <w:t>CSAF</w:t>
      </w:r>
      <w:r w:rsidRPr="00DF6756">
        <w:rPr>
          <w:rFonts w:ascii="宋体" w:eastAsia="宋体" w:hAnsi="宋体" w:cs="宋体" w:hint="eastAsia"/>
        </w:rPr>
        <w:t>方法，将种间外推和个体间变异的</w:t>
      </w:r>
      <w:r w:rsidRPr="00DF6756">
        <w:t>PK</w:t>
      </w:r>
      <w:r w:rsidRPr="00DF6756">
        <w:rPr>
          <w:rFonts w:ascii="宋体" w:eastAsia="宋体" w:hAnsi="宋体" w:cs="宋体" w:hint="eastAsia"/>
        </w:rPr>
        <w:t>和</w:t>
      </w:r>
      <w:r w:rsidRPr="00DF6756">
        <w:t>PD</w:t>
      </w:r>
      <w:r w:rsidRPr="00DF6756">
        <w:rPr>
          <w:rFonts w:ascii="宋体" w:eastAsia="宋体" w:hAnsi="宋体" w:cs="宋体" w:hint="eastAsia"/>
        </w:rPr>
        <w:t>子因子的值分别从</w:t>
      </w:r>
      <w:r w:rsidRPr="00DF6756">
        <w:t>3.16</w:t>
      </w:r>
      <w:r w:rsidRPr="00DF6756">
        <w:rPr>
          <w:rFonts w:ascii="宋体" w:eastAsia="宋体" w:hAnsi="宋体" w:cs="宋体" w:hint="eastAsia"/>
        </w:rPr>
        <w:t>修改为</w:t>
      </w:r>
      <w:r w:rsidRPr="00DF6756">
        <w:t>PK</w:t>
      </w:r>
      <w:r w:rsidRPr="00DF6756">
        <w:rPr>
          <w:rFonts w:ascii="宋体" w:eastAsia="宋体" w:hAnsi="宋体" w:cs="宋体" w:hint="eastAsia"/>
        </w:rPr>
        <w:t>的</w:t>
      </w:r>
      <w:r w:rsidRPr="00DF6756">
        <w:t>4.0</w:t>
      </w:r>
      <w:r w:rsidRPr="00DF6756">
        <w:rPr>
          <w:rFonts w:ascii="宋体" w:eastAsia="宋体" w:hAnsi="宋体" w:cs="宋体" w:hint="eastAsia"/>
        </w:rPr>
        <w:t>，将</w:t>
      </w:r>
      <w:r w:rsidRPr="00DF6756">
        <w:t>PK</w:t>
      </w:r>
      <w:r w:rsidRPr="00DF6756">
        <w:rPr>
          <w:rFonts w:ascii="宋体" w:eastAsia="宋体" w:hAnsi="宋体" w:cs="宋体" w:hint="eastAsia"/>
        </w:rPr>
        <w:t>修改为</w:t>
      </w:r>
      <w:r w:rsidRPr="00DF6756">
        <w:t>2.5</w:t>
      </w:r>
      <w:r w:rsidRPr="00DF6756">
        <w:rPr>
          <w:rFonts w:ascii="宋体" w:eastAsia="宋体" w:hAnsi="宋体" w:cs="宋体" w:hint="eastAsia"/>
        </w:rPr>
        <w:t>（</w:t>
      </w:r>
      <w:r w:rsidRPr="00DF6756">
        <w:t>79</w:t>
      </w:r>
      <w:r w:rsidRPr="00DF6756">
        <w:rPr>
          <w:rFonts w:ascii="宋体" w:eastAsia="宋体" w:hAnsi="宋体" w:cs="宋体" w:hint="eastAsia"/>
        </w:rPr>
        <w:t>）。</w:t>
      </w:r>
      <w:r w:rsidRPr="00DF6756">
        <w:t xml:space="preserve"> IPCS</w:t>
      </w:r>
      <w:r w:rsidRPr="00DF6756">
        <w:rPr>
          <w:rFonts w:ascii="宋体" w:eastAsia="宋体" w:hAnsi="宋体" w:cs="宋体" w:hint="eastAsia"/>
        </w:rPr>
        <w:t>随后将</w:t>
      </w:r>
      <w:r w:rsidRPr="00DF6756">
        <w:t>Renwick</w:t>
      </w:r>
      <w:r w:rsidRPr="00DF6756">
        <w:rPr>
          <w:rFonts w:ascii="宋体" w:eastAsia="宋体" w:hAnsi="宋体" w:cs="宋体" w:hint="eastAsia"/>
        </w:rPr>
        <w:t>和</w:t>
      </w:r>
      <w:r w:rsidRPr="00DF6756">
        <w:t>Lazarus PK</w:t>
      </w:r>
      <w:r w:rsidRPr="00DF6756">
        <w:rPr>
          <w:rFonts w:ascii="宋体" w:eastAsia="宋体" w:hAnsi="宋体" w:cs="宋体" w:hint="eastAsia"/>
        </w:rPr>
        <w:t>和</w:t>
      </w:r>
      <w:r w:rsidRPr="00DF6756">
        <w:t>PD</w:t>
      </w:r>
      <w:r w:rsidRPr="00DF6756">
        <w:rPr>
          <w:rFonts w:ascii="宋体" w:eastAsia="宋体" w:hAnsi="宋体" w:cs="宋体" w:hint="eastAsia"/>
        </w:rPr>
        <w:t>子因子值进行了修改，以使个体间的可变性等于初始</w:t>
      </w:r>
      <w:r w:rsidRPr="00DF6756">
        <w:t>Renwick</w:t>
      </w:r>
      <w:r w:rsidRPr="00DF6756">
        <w:rPr>
          <w:rFonts w:ascii="宋体" w:eastAsia="宋体" w:hAnsi="宋体" w:cs="宋体" w:hint="eastAsia"/>
        </w:rPr>
        <w:t>提案中的</w:t>
      </w:r>
      <w:r w:rsidRPr="00DF6756">
        <w:t>3.16</w:t>
      </w:r>
      <w:r w:rsidRPr="00DF6756">
        <w:rPr>
          <w:rFonts w:ascii="宋体" w:eastAsia="宋体" w:hAnsi="宋体" w:cs="宋体" w:hint="eastAsia"/>
        </w:rPr>
        <w:t>，作为默认值（</w:t>
      </w:r>
      <w:r w:rsidRPr="00DF6756">
        <w:t>64</w:t>
      </w:r>
      <w:r w:rsidRPr="00DF6756">
        <w:rPr>
          <w:rFonts w:ascii="宋体" w:eastAsia="宋体" w:hAnsi="宋体" w:cs="宋体" w:hint="eastAsia"/>
        </w:rPr>
        <w:t>）。请注意，动力学的默认子因子</w:t>
      </w:r>
      <w:r w:rsidRPr="00DF6756">
        <w:t>3.16</w:t>
      </w:r>
      <w:r w:rsidRPr="00DF6756">
        <w:rPr>
          <w:rFonts w:ascii="宋体" w:eastAsia="宋体" w:hAnsi="宋体" w:cs="宋体" w:hint="eastAsia"/>
        </w:rPr>
        <w:t>可能不适用于一般人群的所有群体（</w:t>
      </w:r>
      <w:r w:rsidRPr="00DF6756">
        <w:t>80</w:t>
      </w:r>
      <w:r w:rsidRPr="00DF6756">
        <w:rPr>
          <w:rFonts w:ascii="宋体" w:eastAsia="宋体" w:hAnsi="宋体" w:cs="宋体" w:hint="eastAsia"/>
        </w:rPr>
        <w:t>，</w:t>
      </w:r>
      <w:r w:rsidRPr="00DF6756">
        <w:t>81</w:t>
      </w:r>
      <w:r w:rsidRPr="00DF6756">
        <w:rPr>
          <w:rFonts w:ascii="宋体" w:eastAsia="宋体" w:hAnsi="宋体" w:cs="宋体" w:hint="eastAsia"/>
        </w:rPr>
        <w:t>）。对于某些药物，可能由于某些因素（包括年龄（例如，非常年轻（</w:t>
      </w:r>
      <w:r w:rsidRPr="00DF6756">
        <w:t>82-85</w:t>
      </w:r>
      <w:r w:rsidRPr="00DF6756">
        <w:rPr>
          <w:rFonts w:ascii="宋体" w:eastAsia="宋体" w:hAnsi="宋体" w:cs="宋体" w:hint="eastAsia"/>
        </w:rPr>
        <w:t>）或老年人（</w:t>
      </w:r>
      <w:r w:rsidRPr="00DF6756">
        <w:t>86</w:t>
      </w:r>
      <w:r w:rsidRPr="00DF6756">
        <w:rPr>
          <w:rFonts w:ascii="宋体" w:eastAsia="宋体" w:hAnsi="宋体" w:cs="宋体" w:hint="eastAsia"/>
        </w:rPr>
        <w:t>）），疾病状态）而导致敏感的亚群无法有效地代谢或排泄药物，或遗传多态性（例如，参见参考文献（</w:t>
      </w:r>
      <w:r w:rsidRPr="00DF6756">
        <w:t>87</w:t>
      </w:r>
      <w:r w:rsidRPr="00DF6756">
        <w:rPr>
          <w:rFonts w:ascii="宋体" w:eastAsia="宋体" w:hAnsi="宋体" w:cs="宋体" w:hint="eastAsia"/>
        </w:rPr>
        <w:t>）和（</w:t>
      </w:r>
      <w:r w:rsidRPr="00DF6756">
        <w:t>88</w:t>
      </w:r>
      <w:r w:rsidRPr="00DF6756">
        <w:rPr>
          <w:rFonts w:ascii="宋体" w:eastAsia="宋体" w:hAnsi="宋体" w:cs="宋体" w:hint="eastAsia"/>
        </w:rPr>
        <w:t>））。</w:t>
      </w:r>
      <w:r w:rsidRPr="00DF6756">
        <w:t xml:space="preserve"> EPA</w:t>
      </w:r>
      <w:r w:rsidRPr="00DF6756">
        <w:rPr>
          <w:rFonts w:ascii="宋体" w:eastAsia="宋体" w:hAnsi="宋体" w:cs="宋体" w:hint="eastAsia"/>
        </w:rPr>
        <w:t>制定了自己的</w:t>
      </w:r>
      <w:r w:rsidRPr="00DF6756">
        <w:t>CSAF</w:t>
      </w:r>
      <w:r w:rsidRPr="00DF6756">
        <w:rPr>
          <w:rFonts w:ascii="宋体" w:eastAsia="宋体" w:hAnsi="宋体" w:cs="宋体" w:hint="eastAsia"/>
        </w:rPr>
        <w:t>指南，该方法被称为种间和种间外推的数据衍生外推因子（</w:t>
      </w:r>
      <w:r w:rsidRPr="00DF6756">
        <w:t>DDEF</w:t>
      </w:r>
      <w:r w:rsidRPr="00DF6756">
        <w:rPr>
          <w:rFonts w:ascii="宋体" w:eastAsia="宋体" w:hAnsi="宋体" w:cs="宋体" w:hint="eastAsia"/>
        </w:rPr>
        <w:t>），解释了其评估数据以及计算种间和种内</w:t>
      </w:r>
      <w:r w:rsidRPr="00DF6756">
        <w:t>AF</w:t>
      </w:r>
      <w:r w:rsidRPr="00DF6756">
        <w:rPr>
          <w:rFonts w:ascii="宋体" w:eastAsia="宋体" w:hAnsi="宋体" w:cs="宋体" w:hint="eastAsia"/>
        </w:rPr>
        <w:t>的方法</w:t>
      </w:r>
      <w:r w:rsidR="00284695">
        <w:rPr>
          <w:b/>
        </w:rPr>
        <w:t>(</w:t>
      </w:r>
      <w:r w:rsidR="00284695">
        <w:rPr>
          <w:b/>
          <w:color w:val="C1151A"/>
        </w:rPr>
        <w:t>89</w:t>
      </w:r>
      <w:r w:rsidR="00284695">
        <w:rPr>
          <w:b/>
        </w:rPr>
        <w:t>)</w:t>
      </w:r>
      <w:r w:rsidR="00284695">
        <w:t>.</w:t>
      </w:r>
    </w:p>
    <w:p w14:paraId="3F219FD2" w14:textId="2E087C5D" w:rsidR="0026097E" w:rsidRDefault="00284695">
      <w:pPr>
        <w:tabs>
          <w:tab w:val="center" w:pos="2508"/>
          <w:tab w:val="right" w:pos="5030"/>
        </w:tabs>
        <w:spacing w:after="3" w:line="259" w:lineRule="auto"/>
        <w:ind w:right="-1" w:firstLine="0"/>
        <w:jc w:val="left"/>
      </w:pPr>
      <w:r>
        <w:rPr>
          <w:rFonts w:ascii="Calibri" w:eastAsia="Calibri" w:hAnsi="Calibri" w:cs="Calibri"/>
          <w:color w:val="000000"/>
          <w:sz w:val="22"/>
        </w:rPr>
        <w:tab/>
      </w:r>
      <w:r>
        <w:rPr>
          <w:sz w:val="17"/>
        </w:rPr>
        <w:t xml:space="preserve">F2 </w:t>
      </w:r>
      <w:r w:rsidR="00DF6756">
        <w:rPr>
          <w:rFonts w:asciiTheme="minorEastAsia" w:eastAsiaTheme="minorEastAsia" w:hAnsiTheme="minorEastAsia" w:cs="Univers" w:hint="eastAsia"/>
          <w:sz w:val="17"/>
        </w:rPr>
        <w:t>=</w:t>
      </w:r>
      <w:r>
        <w:rPr>
          <w:rFonts w:ascii="Univers" w:eastAsia="Univers" w:hAnsi="Univers" w:cs="Univers"/>
          <w:sz w:val="17"/>
        </w:rPr>
        <w:t xml:space="preserve"> </w:t>
      </w:r>
      <w:r>
        <w:rPr>
          <w:sz w:val="17"/>
        </w:rPr>
        <w:t>F2</w:t>
      </w:r>
      <w:r w:rsidR="00DF6756">
        <w:rPr>
          <w:rFonts w:ascii="宋体" w:eastAsia="宋体" w:hAnsi="宋体" w:cs="宋体" w:hint="eastAsia"/>
        </w:rPr>
        <w:t>（</w:t>
      </w:r>
      <w:r w:rsidR="00DF6756">
        <w:rPr>
          <w:sz w:val="17"/>
        </w:rPr>
        <w:t>TK</w:t>
      </w:r>
      <w:r w:rsidR="00DF6756">
        <w:rPr>
          <w:rFonts w:ascii="宋体" w:eastAsia="宋体" w:hAnsi="宋体" w:cs="宋体" w:hint="eastAsia"/>
        </w:rPr>
        <w:t>）</w:t>
      </w:r>
      <w:r>
        <w:rPr>
          <w:sz w:val="17"/>
        </w:rPr>
        <w:t>*F2</w:t>
      </w:r>
      <w:r w:rsidR="00DF6756">
        <w:rPr>
          <w:rFonts w:ascii="宋体" w:eastAsia="宋体" w:hAnsi="宋体" w:cs="宋体" w:hint="eastAsia"/>
        </w:rPr>
        <w:t>（</w:t>
      </w:r>
      <w:r w:rsidR="00DF6756">
        <w:rPr>
          <w:sz w:val="17"/>
        </w:rPr>
        <w:t>TD</w:t>
      </w:r>
      <w:r w:rsidR="00DF6756">
        <w:rPr>
          <w:rFonts w:ascii="宋体" w:eastAsia="宋体" w:hAnsi="宋体" w:cs="宋体" w:hint="eastAsia"/>
        </w:rPr>
        <w:t>）</w:t>
      </w:r>
      <w:r>
        <w:rPr>
          <w:rFonts w:ascii="Univers" w:eastAsia="Univers" w:hAnsi="Univers" w:cs="Univers"/>
        </w:rPr>
        <w:tab/>
      </w:r>
      <w:r>
        <w:rPr>
          <w:sz w:val="17"/>
        </w:rPr>
        <w:t>(9)</w:t>
      </w:r>
    </w:p>
    <w:p w14:paraId="10BD06D8" w14:textId="77777777" w:rsidR="00DF6756" w:rsidRDefault="00DF6756" w:rsidP="00DF6756">
      <w:pPr>
        <w:numPr>
          <w:ilvl w:val="0"/>
          <w:numId w:val="7"/>
        </w:numPr>
      </w:pPr>
      <w:r>
        <w:rPr>
          <w:rFonts w:ascii="宋体" w:eastAsia="宋体" w:hAnsi="宋体" w:cs="宋体" w:hint="eastAsia"/>
        </w:rPr>
        <w:t>可以使用</w:t>
      </w:r>
      <w:r>
        <w:t>CSAF</w:t>
      </w:r>
      <w:r>
        <w:rPr>
          <w:rFonts w:ascii="宋体" w:eastAsia="宋体" w:hAnsi="宋体" w:cs="宋体" w:hint="eastAsia"/>
        </w:rPr>
        <w:t>代替默认的种间异速成比例因子。</w:t>
      </w:r>
      <w:r>
        <w:t xml:space="preserve"> CSAF</w:t>
      </w:r>
      <w:r>
        <w:rPr>
          <w:rFonts w:ascii="宋体" w:eastAsia="宋体" w:hAnsi="宋体" w:cs="宋体" w:hint="eastAsia"/>
        </w:rPr>
        <w:t>种间变异性指南在其他地方有介绍（</w:t>
      </w:r>
      <w:r>
        <w:t>50</w:t>
      </w:r>
      <w:r>
        <w:rPr>
          <w:rFonts w:ascii="宋体" w:eastAsia="宋体" w:hAnsi="宋体" w:cs="宋体" w:hint="eastAsia"/>
        </w:rPr>
        <w:t>、</w:t>
      </w:r>
      <w:r>
        <w:t>64</w:t>
      </w:r>
      <w:r>
        <w:rPr>
          <w:rFonts w:ascii="宋体" w:eastAsia="宋体" w:hAnsi="宋体" w:cs="宋体" w:hint="eastAsia"/>
        </w:rPr>
        <w:t>、</w:t>
      </w:r>
      <w:r>
        <w:t>89</w:t>
      </w:r>
      <w:r>
        <w:rPr>
          <w:rFonts w:ascii="宋体" w:eastAsia="宋体" w:hAnsi="宋体" w:cs="宋体" w:hint="eastAsia"/>
        </w:rPr>
        <w:t>）。</w:t>
      </w:r>
      <w:r>
        <w:t xml:space="preserve"> </w:t>
      </w:r>
      <w:r>
        <w:rPr>
          <w:rFonts w:ascii="宋体" w:eastAsia="宋体" w:hAnsi="宋体" w:cs="宋体" w:hint="eastAsia"/>
        </w:rPr>
        <w:t>图</w:t>
      </w:r>
      <w:r>
        <w:t>2</w:t>
      </w:r>
      <w:r>
        <w:rPr>
          <w:rFonts w:ascii="宋体" w:eastAsia="宋体" w:hAnsi="宋体" w:cs="宋体" w:hint="eastAsia"/>
        </w:rPr>
        <w:t>说明了</w:t>
      </w:r>
      <w:r>
        <w:t>CSAF</w:t>
      </w:r>
      <w:r>
        <w:rPr>
          <w:rFonts w:ascii="宋体" w:eastAsia="宋体" w:hAnsi="宋体" w:cs="宋体" w:hint="eastAsia"/>
        </w:rPr>
        <w:t>在药代动力学和药效学贡献中的分配。</w:t>
      </w:r>
      <w:r>
        <w:t xml:space="preserve"> </w:t>
      </w:r>
      <w:r>
        <w:rPr>
          <w:rFonts w:ascii="宋体" w:eastAsia="宋体" w:hAnsi="宋体" w:cs="宋体" w:hint="eastAsia"/>
        </w:rPr>
        <w:t>在某些情况下，可能必须将默认</w:t>
      </w:r>
      <w:proofErr w:type="gramStart"/>
      <w:r>
        <w:rPr>
          <w:rFonts w:ascii="宋体" w:eastAsia="宋体" w:hAnsi="宋体" w:cs="宋体" w:hint="eastAsia"/>
        </w:rPr>
        <w:t>值应用</w:t>
      </w:r>
      <w:proofErr w:type="gramEnd"/>
      <w:r>
        <w:rPr>
          <w:rFonts w:ascii="宋体" w:eastAsia="宋体" w:hAnsi="宋体" w:cs="宋体" w:hint="eastAsia"/>
        </w:rPr>
        <w:t>于</w:t>
      </w:r>
      <w:proofErr w:type="gramStart"/>
      <w:r>
        <w:rPr>
          <w:rFonts w:ascii="宋体" w:eastAsia="宋体" w:hAnsi="宋体" w:cs="宋体" w:hint="eastAsia"/>
        </w:rPr>
        <w:t>一</w:t>
      </w:r>
      <w:proofErr w:type="gramEnd"/>
      <w:r>
        <w:rPr>
          <w:rFonts w:ascii="宋体" w:eastAsia="宋体" w:hAnsi="宋体" w:cs="宋体" w:hint="eastAsia"/>
        </w:rPr>
        <w:t>个子因子，而</w:t>
      </w:r>
      <w:r>
        <w:t>CSAF</w:t>
      </w:r>
      <w:r>
        <w:rPr>
          <w:rFonts w:ascii="宋体" w:eastAsia="宋体" w:hAnsi="宋体" w:cs="宋体" w:hint="eastAsia"/>
        </w:rPr>
        <w:t>可能对另一子因子可用（</w:t>
      </w:r>
      <w:r>
        <w:t>90</w:t>
      </w:r>
      <w:r>
        <w:rPr>
          <w:rFonts w:ascii="宋体" w:eastAsia="宋体" w:hAnsi="宋体" w:cs="宋体" w:hint="eastAsia"/>
        </w:rPr>
        <w:t>、</w:t>
      </w:r>
      <w:r>
        <w:t>91</w:t>
      </w:r>
      <w:r>
        <w:rPr>
          <w:rFonts w:ascii="宋体" w:eastAsia="宋体" w:hAnsi="宋体" w:cs="宋体" w:hint="eastAsia"/>
        </w:rPr>
        <w:t>）。</w:t>
      </w:r>
    </w:p>
    <w:p w14:paraId="10F2BDC1" w14:textId="58709731" w:rsidR="0026097E" w:rsidRDefault="00DF6756" w:rsidP="005F06FF">
      <w:pPr>
        <w:numPr>
          <w:ilvl w:val="0"/>
          <w:numId w:val="7"/>
        </w:numPr>
        <w:ind w:firstLine="142"/>
      </w:pPr>
      <w:r>
        <w:rPr>
          <w:rFonts w:ascii="宋体" w:eastAsia="宋体" w:hAnsi="宋体" w:cs="宋体" w:hint="eastAsia"/>
        </w:rPr>
        <w:t>如果可用，则应使用特定于化学物质的数据替换每个默认因子，以得出更准确反映人体中化学物质行为的总</w:t>
      </w:r>
      <w:r>
        <w:t>AF</w:t>
      </w:r>
      <w:r>
        <w:rPr>
          <w:rFonts w:ascii="宋体" w:eastAsia="宋体" w:hAnsi="宋体" w:cs="宋体" w:hint="eastAsia"/>
        </w:rPr>
        <w:t>。</w:t>
      </w:r>
      <w:r>
        <w:t xml:space="preserve"> </w:t>
      </w:r>
      <w:r>
        <w:rPr>
          <w:rFonts w:ascii="宋体" w:eastAsia="宋体" w:hAnsi="宋体" w:cs="宋体" w:hint="eastAsia"/>
        </w:rPr>
        <w:t>对于毒物动力学，当在动物和人类中都已知时，根</w:t>
      </w:r>
      <w:r>
        <w:rPr>
          <w:rFonts w:ascii="宋体" w:eastAsia="宋体" w:hAnsi="宋体" w:cs="宋体" w:hint="eastAsia"/>
        </w:rPr>
        <w:lastRenderedPageBreak/>
        <w:t>据曲线下面积</w:t>
      </w:r>
      <w:r>
        <w:t>[AUC</w:t>
      </w:r>
      <w:r>
        <w:rPr>
          <w:rFonts w:ascii="宋体" w:eastAsia="宋体" w:hAnsi="宋体" w:cs="宋体" w:hint="eastAsia"/>
        </w:rPr>
        <w:t>或适当时血液中的最大浓度（</w:t>
      </w:r>
      <w:proofErr w:type="spellStart"/>
      <w:r>
        <w:t>Cmax</w:t>
      </w:r>
      <w:proofErr w:type="spellEnd"/>
      <w:r>
        <w:rPr>
          <w:rFonts w:ascii="宋体" w:eastAsia="宋体" w:hAnsi="宋体" w:cs="宋体" w:hint="eastAsia"/>
        </w:rPr>
        <w:t>）</w:t>
      </w:r>
      <w:r>
        <w:t>]</w:t>
      </w:r>
      <w:r>
        <w:rPr>
          <w:rFonts w:ascii="宋体" w:eastAsia="宋体" w:hAnsi="宋体" w:cs="宋体" w:hint="eastAsia"/>
        </w:rPr>
        <w:t>确定的暴露是重要的数据。</w:t>
      </w:r>
      <w:r>
        <w:t xml:space="preserve"> </w:t>
      </w:r>
      <w:r>
        <w:rPr>
          <w:rFonts w:ascii="宋体" w:eastAsia="宋体" w:hAnsi="宋体" w:cs="宋体" w:hint="eastAsia"/>
        </w:rPr>
        <w:t>直接比较</w:t>
      </w:r>
      <w:r>
        <w:t>AUCs</w:t>
      </w:r>
      <w:r>
        <w:rPr>
          <w:rFonts w:ascii="宋体" w:eastAsia="宋体" w:hAnsi="宋体" w:cs="宋体" w:hint="eastAsia"/>
        </w:rPr>
        <w:t>有助于确定与动物观察到的暴露效果相同的人类剂量</w:t>
      </w:r>
      <w:r w:rsidR="00284695">
        <w:t>.</w:t>
      </w:r>
    </w:p>
    <w:p w14:paraId="2CFEA5E9" w14:textId="1D4744FC" w:rsidR="0026097E" w:rsidRDefault="0071718B">
      <w:pPr>
        <w:spacing w:after="94"/>
        <w:ind w:left="-5" w:hanging="10"/>
        <w:jc w:val="left"/>
      </w:pPr>
      <w:r>
        <w:rPr>
          <w:rFonts w:ascii="宋体" w:eastAsia="宋体" w:hAnsi="宋体" w:cs="宋体" w:hint="eastAsia"/>
        </w:rPr>
        <w:t>（4）</w:t>
      </w:r>
      <w:r w:rsidR="00DF6756" w:rsidRPr="00DF6756">
        <w:rPr>
          <w:rFonts w:ascii="宋体" w:eastAsia="宋体" w:hAnsi="宋体" w:cs="宋体" w:hint="eastAsia"/>
        </w:rPr>
        <w:t>最近有一些例子，得出具有有限数据的</w:t>
      </w:r>
      <w:r w:rsidR="00DF6756" w:rsidRPr="00DF6756">
        <w:t>CSAF</w:t>
      </w:r>
      <w:r w:rsidR="00DF6756" w:rsidRPr="00DF6756">
        <w:rPr>
          <w:rFonts w:ascii="宋体" w:eastAsia="宋体" w:hAnsi="宋体" w:cs="宋体" w:hint="eastAsia"/>
        </w:rPr>
        <w:t>（</w:t>
      </w:r>
      <w:r w:rsidR="00DF6756" w:rsidRPr="00DF6756">
        <w:t>92</w:t>
      </w:r>
      <w:r w:rsidR="00DF6756" w:rsidRPr="00DF6756">
        <w:rPr>
          <w:rFonts w:ascii="宋体" w:eastAsia="宋体" w:hAnsi="宋体" w:cs="宋体" w:hint="eastAsia"/>
        </w:rPr>
        <w:t>）。</w:t>
      </w:r>
      <w:r w:rsidR="00DF6756" w:rsidRPr="00DF6756">
        <w:t xml:space="preserve"> </w:t>
      </w:r>
      <w:r w:rsidR="00DF6756" w:rsidRPr="00DF6756">
        <w:rPr>
          <w:rFonts w:ascii="宋体" w:eastAsia="宋体" w:hAnsi="宋体" w:cs="宋体" w:hint="eastAsia"/>
        </w:rPr>
        <w:t>他们显示，如果只有非常有限的数据可用，体外</w:t>
      </w:r>
      <w:r w:rsidR="00DF6756" w:rsidRPr="00DF6756">
        <w:rPr>
          <w:rFonts w:ascii="宋体" w:eastAsia="宋体" w:hAnsi="宋体" w:cs="宋体" w:hint="eastAsia"/>
        </w:rPr>
        <w:t>到体内分析作为筛选方法可能有用（</w:t>
      </w:r>
      <w:r w:rsidR="00DF6756" w:rsidRPr="00DF6756">
        <w:t>87</w:t>
      </w:r>
      <w:r w:rsidR="00DF6756" w:rsidRPr="00DF6756">
        <w:rPr>
          <w:rFonts w:ascii="宋体" w:eastAsia="宋体" w:hAnsi="宋体" w:cs="宋体" w:hint="eastAsia"/>
        </w:rPr>
        <w:t>、</w:t>
      </w:r>
      <w:r w:rsidR="00DF6756" w:rsidRPr="00DF6756">
        <w:t>88</w:t>
      </w:r>
      <w:r w:rsidR="00DF6756" w:rsidRPr="00DF6756">
        <w:rPr>
          <w:rFonts w:ascii="宋体" w:eastAsia="宋体" w:hAnsi="宋体" w:cs="宋体" w:hint="eastAsia"/>
        </w:rPr>
        <w:t>、</w:t>
      </w:r>
      <w:r w:rsidR="00DF6756" w:rsidRPr="00DF6756">
        <w:t>93-95</w:t>
      </w:r>
      <w:r w:rsidR="00DF6756" w:rsidRPr="00DF6756">
        <w:rPr>
          <w:rFonts w:ascii="宋体" w:eastAsia="宋体" w:hAnsi="宋体" w:cs="宋体" w:hint="eastAsia"/>
        </w:rPr>
        <w:t>）。</w:t>
      </w:r>
      <w:r w:rsidR="00DF6756" w:rsidRPr="00DF6756">
        <w:t xml:space="preserve"> </w:t>
      </w:r>
      <w:r w:rsidR="00DF6756" w:rsidRPr="00DF6756">
        <w:rPr>
          <w:rFonts w:ascii="宋体" w:eastAsia="宋体" w:hAnsi="宋体" w:cs="宋体" w:hint="eastAsia"/>
        </w:rPr>
        <w:t>如果在未知情况下需要评估物种之间的毒理动力学差异，则可以使用默认系数</w:t>
      </w:r>
      <w:r w:rsidR="00DF6756" w:rsidRPr="00DF6756">
        <w:t>2.5</w:t>
      </w:r>
      <w:r w:rsidR="00DF6756" w:rsidRPr="00DF6756">
        <w:rPr>
          <w:rFonts w:ascii="宋体" w:eastAsia="宋体" w:hAnsi="宋体" w:cs="宋体" w:hint="eastAsia"/>
        </w:rPr>
        <w:t>。</w:t>
      </w:r>
      <w:r w:rsidR="00DF6756" w:rsidRPr="00DF6756">
        <w:t xml:space="preserve"> </w:t>
      </w:r>
      <w:r w:rsidR="00DF6756" w:rsidRPr="00DF6756">
        <w:rPr>
          <w:rFonts w:ascii="宋体" w:eastAsia="宋体" w:hAnsi="宋体" w:cs="宋体" w:hint="eastAsia"/>
        </w:rPr>
        <w:t>在这种情况下，应独立检查物种对药效学敏感性（例如受体结合）的敏感性，以确定是否应使用其他因素。</w:t>
      </w:r>
      <w:r w:rsidR="00DF6756" w:rsidRPr="00DF6756">
        <w:t xml:space="preserve"> </w:t>
      </w:r>
      <w:r w:rsidR="00DF6756" w:rsidRPr="00DF6756">
        <w:rPr>
          <w:rFonts w:ascii="宋体" w:eastAsia="宋体" w:hAnsi="宋体" w:cs="宋体" w:hint="eastAsia"/>
        </w:rPr>
        <w:t>公式</w:t>
      </w:r>
      <w:r w:rsidR="00DF6756" w:rsidRPr="00DF6756">
        <w:t>10</w:t>
      </w:r>
      <w:r w:rsidR="00DF6756" w:rsidRPr="00DF6756">
        <w:rPr>
          <w:rFonts w:ascii="宋体" w:eastAsia="宋体" w:hAnsi="宋体" w:cs="宋体" w:hint="eastAsia"/>
        </w:rPr>
        <w:t>是</w:t>
      </w:r>
      <w:r w:rsidR="00DF6756" w:rsidRPr="00DF6756">
        <w:t>CSAF</w:t>
      </w:r>
      <w:r w:rsidR="00DF6756" w:rsidRPr="00DF6756">
        <w:rPr>
          <w:rFonts w:ascii="宋体" w:eastAsia="宋体" w:hAnsi="宋体" w:cs="宋体" w:hint="eastAsia"/>
        </w:rPr>
        <w:t>计算的一个例子</w:t>
      </w:r>
      <w:r w:rsidR="00284695">
        <w:rPr>
          <w:b/>
        </w:rPr>
        <w:t>(</w:t>
      </w:r>
      <w:r w:rsidR="00284695">
        <w:rPr>
          <w:b/>
          <w:color w:val="C1151A"/>
        </w:rPr>
        <w:t>50</w:t>
      </w:r>
      <w:r w:rsidR="00284695">
        <w:rPr>
          <w:b/>
        </w:rPr>
        <w:t>)</w:t>
      </w:r>
      <w:r w:rsidR="00284695">
        <w:t>:</w:t>
      </w:r>
    </w:p>
    <w:p w14:paraId="402FA00E" w14:textId="77777777" w:rsidR="0026097E" w:rsidRDefault="0026097E">
      <w:pPr>
        <w:sectPr w:rsidR="0026097E">
          <w:type w:val="continuous"/>
          <w:pgSz w:w="11674" w:h="15625"/>
          <w:pgMar w:top="1192" w:right="628" w:bottom="970" w:left="629" w:header="720" w:footer="720" w:gutter="0"/>
          <w:cols w:num="2" w:space="358"/>
        </w:sectPr>
      </w:pPr>
    </w:p>
    <w:p w14:paraId="7E1C0CB4" w14:textId="1E372659" w:rsidR="0026097E" w:rsidRDefault="00284695">
      <w:pPr>
        <w:spacing w:after="3" w:line="259" w:lineRule="auto"/>
        <w:ind w:left="10" w:right="5" w:hanging="10"/>
        <w:jc w:val="center"/>
      </w:pPr>
      <w:r>
        <w:rPr>
          <w:rFonts w:ascii="Arial" w:eastAsia="Arial" w:hAnsi="Arial" w:cs="Arial"/>
          <w:b/>
          <w:sz w:val="16"/>
        </w:rPr>
        <w:t xml:space="preserve">TABLE 2 </w:t>
      </w:r>
      <w:r w:rsidR="005F06FF" w:rsidRPr="005F06FF">
        <w:rPr>
          <w:rFonts w:ascii="宋体" w:eastAsia="宋体" w:hAnsi="宋体" w:cs="宋体" w:hint="eastAsia"/>
          <w:b/>
          <w:sz w:val="16"/>
        </w:rPr>
        <w:t>来自各种指南的异速伸缩比例因子</w:t>
      </w:r>
    </w:p>
    <w:tbl>
      <w:tblPr>
        <w:tblStyle w:val="TableGrid"/>
        <w:tblW w:w="10417" w:type="dxa"/>
        <w:tblInd w:w="0" w:type="dxa"/>
        <w:tblCellMar>
          <w:top w:w="21" w:type="dxa"/>
          <w:right w:w="115" w:type="dxa"/>
        </w:tblCellMar>
        <w:tblLook w:val="04A0" w:firstRow="1" w:lastRow="0" w:firstColumn="1" w:lastColumn="0" w:noHBand="0" w:noVBand="1"/>
      </w:tblPr>
      <w:tblGrid>
        <w:gridCol w:w="1418"/>
        <w:gridCol w:w="2917"/>
        <w:gridCol w:w="2067"/>
        <w:gridCol w:w="2067"/>
        <w:gridCol w:w="1948"/>
      </w:tblGrid>
      <w:tr w:rsidR="00176F09" w14:paraId="468D0F55" w14:textId="77777777" w:rsidTr="00AC4723">
        <w:trPr>
          <w:trHeight w:hRule="exact" w:val="340"/>
        </w:trPr>
        <w:tc>
          <w:tcPr>
            <w:tcW w:w="1418" w:type="dxa"/>
            <w:tcBorders>
              <w:top w:val="single" w:sz="8" w:space="0" w:color="221F1F"/>
              <w:left w:val="nil"/>
              <w:bottom w:val="single" w:sz="4" w:space="0" w:color="221F1F"/>
              <w:right w:val="nil"/>
            </w:tcBorders>
          </w:tcPr>
          <w:p w14:paraId="15204A82" w14:textId="4784E13E" w:rsidR="00176F09" w:rsidRDefault="00176F09" w:rsidP="005F06FF">
            <w:pPr>
              <w:spacing w:after="0" w:line="259" w:lineRule="auto"/>
              <w:ind w:right="4" w:firstLine="0"/>
              <w:jc w:val="center"/>
            </w:pPr>
            <w:r w:rsidRPr="00F1145E">
              <w:rPr>
                <w:rFonts w:ascii="宋体" w:eastAsia="宋体" w:hAnsi="宋体" w:cs="宋体" w:hint="eastAsia"/>
              </w:rPr>
              <w:t>种类</w:t>
            </w:r>
          </w:p>
        </w:tc>
        <w:tc>
          <w:tcPr>
            <w:tcW w:w="2917" w:type="dxa"/>
            <w:tcBorders>
              <w:top w:val="single" w:sz="8" w:space="0" w:color="221F1F"/>
              <w:left w:val="nil"/>
              <w:bottom w:val="single" w:sz="4" w:space="0" w:color="221F1F"/>
              <w:right w:val="nil"/>
            </w:tcBorders>
          </w:tcPr>
          <w:p w14:paraId="5F1EA145" w14:textId="77777777" w:rsidR="00176F09" w:rsidRDefault="00176F09" w:rsidP="005F06FF">
            <w:pPr>
              <w:spacing w:after="0" w:line="259" w:lineRule="auto"/>
              <w:ind w:firstLine="0"/>
              <w:jc w:val="left"/>
            </w:pPr>
            <w:r>
              <w:rPr>
                <w:rFonts w:ascii="Arial" w:eastAsia="Arial" w:hAnsi="Arial" w:cs="Arial"/>
                <w:sz w:val="14"/>
              </w:rPr>
              <w:t xml:space="preserve">AF </w:t>
            </w:r>
            <w:r>
              <w:rPr>
                <w:rFonts w:ascii="Arial" w:eastAsia="Arial" w:hAnsi="Arial" w:cs="Arial"/>
                <w:b/>
                <w:sz w:val="14"/>
              </w:rPr>
              <w:t>(</w:t>
            </w:r>
            <w:r>
              <w:rPr>
                <w:rFonts w:ascii="Arial" w:eastAsia="Arial" w:hAnsi="Arial" w:cs="Arial"/>
                <w:b/>
                <w:color w:val="C1151A"/>
                <w:sz w:val="14"/>
              </w:rPr>
              <w:t>69</w:t>
            </w:r>
            <w:r>
              <w:rPr>
                <w:rFonts w:ascii="Arial" w:eastAsia="Arial" w:hAnsi="Arial" w:cs="Arial"/>
                <w:b/>
                <w:sz w:val="14"/>
              </w:rPr>
              <w:t>)</w:t>
            </w:r>
          </w:p>
        </w:tc>
        <w:tc>
          <w:tcPr>
            <w:tcW w:w="2067" w:type="dxa"/>
            <w:tcBorders>
              <w:top w:val="single" w:sz="8" w:space="0" w:color="221F1F"/>
              <w:left w:val="nil"/>
              <w:bottom w:val="single" w:sz="4" w:space="0" w:color="221F1F"/>
              <w:right w:val="nil"/>
            </w:tcBorders>
          </w:tcPr>
          <w:p w14:paraId="4F7A2562" w14:textId="77777777" w:rsidR="00176F09" w:rsidRDefault="00176F09" w:rsidP="005F06FF">
            <w:pPr>
              <w:spacing w:after="0" w:line="259" w:lineRule="auto"/>
              <w:ind w:firstLine="0"/>
              <w:jc w:val="left"/>
            </w:pPr>
            <w:r>
              <w:rPr>
                <w:rFonts w:ascii="Arial" w:eastAsia="Arial" w:hAnsi="Arial" w:cs="Arial"/>
                <w:sz w:val="14"/>
              </w:rPr>
              <w:t xml:space="preserve">AF </w:t>
            </w:r>
            <w:r>
              <w:rPr>
                <w:rFonts w:ascii="Arial" w:eastAsia="Arial" w:hAnsi="Arial" w:cs="Arial"/>
                <w:b/>
                <w:sz w:val="14"/>
              </w:rPr>
              <w:t>(</w:t>
            </w:r>
            <w:r>
              <w:rPr>
                <w:rFonts w:ascii="Arial" w:eastAsia="Arial" w:hAnsi="Arial" w:cs="Arial"/>
                <w:b/>
                <w:color w:val="C1151A"/>
                <w:sz w:val="14"/>
              </w:rPr>
              <w:t>58</w:t>
            </w:r>
            <w:r>
              <w:rPr>
                <w:rFonts w:ascii="Arial" w:eastAsia="Arial" w:hAnsi="Arial" w:cs="Arial"/>
                <w:b/>
                <w:sz w:val="14"/>
              </w:rPr>
              <w:t>)</w:t>
            </w:r>
          </w:p>
        </w:tc>
        <w:tc>
          <w:tcPr>
            <w:tcW w:w="2067" w:type="dxa"/>
            <w:tcBorders>
              <w:top w:val="single" w:sz="8" w:space="0" w:color="221F1F"/>
              <w:left w:val="nil"/>
              <w:bottom w:val="single" w:sz="4" w:space="0" w:color="221F1F"/>
              <w:right w:val="nil"/>
            </w:tcBorders>
          </w:tcPr>
          <w:p w14:paraId="39E61023" w14:textId="77777777" w:rsidR="00176F09" w:rsidRDefault="00176F09" w:rsidP="005F06FF">
            <w:pPr>
              <w:spacing w:after="0" w:line="259" w:lineRule="auto"/>
              <w:ind w:firstLine="0"/>
              <w:jc w:val="left"/>
            </w:pPr>
            <w:r>
              <w:rPr>
                <w:rFonts w:ascii="Arial" w:eastAsia="Arial" w:hAnsi="Arial" w:cs="Arial"/>
                <w:sz w:val="14"/>
              </w:rPr>
              <w:t xml:space="preserve">AF </w:t>
            </w:r>
            <w:r>
              <w:rPr>
                <w:rFonts w:ascii="Arial" w:eastAsia="Arial" w:hAnsi="Arial" w:cs="Arial"/>
                <w:b/>
                <w:sz w:val="14"/>
              </w:rPr>
              <w:t>(</w:t>
            </w:r>
            <w:r>
              <w:rPr>
                <w:rFonts w:ascii="Arial" w:eastAsia="Arial" w:hAnsi="Arial" w:cs="Arial"/>
                <w:b/>
                <w:color w:val="C1151A"/>
                <w:sz w:val="14"/>
              </w:rPr>
              <w:t>41</w:t>
            </w:r>
            <w:r>
              <w:rPr>
                <w:rFonts w:ascii="Arial" w:eastAsia="Arial" w:hAnsi="Arial" w:cs="Arial"/>
                <w:b/>
                <w:sz w:val="14"/>
              </w:rPr>
              <w:t>)</w:t>
            </w:r>
          </w:p>
        </w:tc>
        <w:tc>
          <w:tcPr>
            <w:tcW w:w="1948" w:type="dxa"/>
            <w:tcBorders>
              <w:top w:val="single" w:sz="8" w:space="0" w:color="221F1F"/>
              <w:left w:val="nil"/>
              <w:bottom w:val="single" w:sz="4" w:space="0" w:color="221F1F"/>
              <w:right w:val="nil"/>
            </w:tcBorders>
          </w:tcPr>
          <w:p w14:paraId="5ECBABDC" w14:textId="77777777" w:rsidR="00176F09" w:rsidRDefault="00176F09" w:rsidP="005F06FF">
            <w:pPr>
              <w:spacing w:after="0" w:line="259" w:lineRule="auto"/>
              <w:ind w:firstLine="0"/>
              <w:jc w:val="left"/>
            </w:pPr>
            <w:r>
              <w:rPr>
                <w:rFonts w:ascii="Arial" w:eastAsia="Arial" w:hAnsi="Arial" w:cs="Arial"/>
                <w:sz w:val="14"/>
              </w:rPr>
              <w:t>AF [ICH Q3C(R6)]</w:t>
            </w:r>
          </w:p>
        </w:tc>
      </w:tr>
      <w:tr w:rsidR="00176F09" w14:paraId="6798FE52" w14:textId="77777777" w:rsidTr="00AC4723">
        <w:trPr>
          <w:trHeight w:hRule="exact" w:val="340"/>
        </w:trPr>
        <w:tc>
          <w:tcPr>
            <w:tcW w:w="1418" w:type="dxa"/>
            <w:tcBorders>
              <w:top w:val="single" w:sz="4" w:space="0" w:color="221F1F"/>
              <w:left w:val="nil"/>
              <w:bottom w:val="nil"/>
              <w:right w:val="nil"/>
            </w:tcBorders>
          </w:tcPr>
          <w:p w14:paraId="2C9205C0" w14:textId="5B6584AA" w:rsidR="00176F09" w:rsidRDefault="00176F09" w:rsidP="00176F09">
            <w:pPr>
              <w:spacing w:after="0" w:line="259" w:lineRule="auto"/>
              <w:ind w:firstLine="0"/>
              <w:jc w:val="left"/>
            </w:pPr>
            <w:r w:rsidRPr="00F1145E">
              <w:rPr>
                <w:rFonts w:ascii="宋体" w:eastAsia="宋体" w:hAnsi="宋体" w:cs="宋体" w:hint="eastAsia"/>
              </w:rPr>
              <w:t>老鼠</w:t>
            </w:r>
          </w:p>
        </w:tc>
        <w:tc>
          <w:tcPr>
            <w:tcW w:w="2917" w:type="dxa"/>
            <w:tcBorders>
              <w:top w:val="single" w:sz="4" w:space="0" w:color="221F1F"/>
              <w:left w:val="nil"/>
              <w:bottom w:val="nil"/>
              <w:right w:val="nil"/>
            </w:tcBorders>
          </w:tcPr>
          <w:p w14:paraId="295F1A24" w14:textId="554133EE" w:rsidR="00176F09" w:rsidRDefault="00176F09" w:rsidP="00176F09">
            <w:pPr>
              <w:spacing w:after="160" w:line="259" w:lineRule="auto"/>
              <w:ind w:firstLine="0"/>
              <w:jc w:val="left"/>
            </w:pPr>
            <w:r>
              <w:rPr>
                <w:rFonts w:ascii="Arial" w:eastAsia="Arial" w:hAnsi="Arial" w:cs="Arial"/>
                <w:sz w:val="14"/>
              </w:rPr>
              <w:t>7</w:t>
            </w:r>
          </w:p>
        </w:tc>
        <w:tc>
          <w:tcPr>
            <w:tcW w:w="2067" w:type="dxa"/>
            <w:tcBorders>
              <w:top w:val="single" w:sz="4" w:space="0" w:color="221F1F"/>
              <w:left w:val="nil"/>
              <w:bottom w:val="nil"/>
              <w:right w:val="nil"/>
            </w:tcBorders>
          </w:tcPr>
          <w:p w14:paraId="392AAF5C" w14:textId="5C811F70" w:rsidR="00176F09" w:rsidRDefault="00176F09" w:rsidP="00176F09">
            <w:pPr>
              <w:spacing w:after="160" w:line="259" w:lineRule="auto"/>
              <w:ind w:firstLine="0"/>
              <w:jc w:val="left"/>
            </w:pPr>
            <w:r>
              <w:rPr>
                <w:rFonts w:ascii="Arial" w:eastAsia="Arial" w:hAnsi="Arial" w:cs="Arial"/>
                <w:sz w:val="14"/>
              </w:rPr>
              <w:t>12.3</w:t>
            </w:r>
          </w:p>
        </w:tc>
        <w:tc>
          <w:tcPr>
            <w:tcW w:w="2067" w:type="dxa"/>
            <w:tcBorders>
              <w:top w:val="single" w:sz="4" w:space="0" w:color="221F1F"/>
              <w:left w:val="nil"/>
              <w:bottom w:val="nil"/>
              <w:right w:val="nil"/>
            </w:tcBorders>
          </w:tcPr>
          <w:p w14:paraId="5F47B307" w14:textId="70E03DEA" w:rsidR="00176F09" w:rsidRDefault="00176F09" w:rsidP="00176F09">
            <w:pPr>
              <w:spacing w:after="160" w:line="259" w:lineRule="auto"/>
              <w:ind w:firstLine="0"/>
              <w:jc w:val="left"/>
            </w:pPr>
            <w:r>
              <w:rPr>
                <w:rFonts w:ascii="Arial" w:eastAsia="Arial" w:hAnsi="Arial" w:cs="Arial"/>
                <w:sz w:val="14"/>
              </w:rPr>
              <w:t>7</w:t>
            </w:r>
          </w:p>
        </w:tc>
        <w:tc>
          <w:tcPr>
            <w:tcW w:w="1948" w:type="dxa"/>
            <w:tcBorders>
              <w:top w:val="single" w:sz="4" w:space="0" w:color="221F1F"/>
              <w:left w:val="nil"/>
              <w:bottom w:val="nil"/>
              <w:right w:val="nil"/>
            </w:tcBorders>
          </w:tcPr>
          <w:p w14:paraId="4BD28DDC" w14:textId="59EFE889" w:rsidR="00176F09" w:rsidRDefault="00176F09" w:rsidP="00176F09">
            <w:pPr>
              <w:spacing w:after="160" w:line="259" w:lineRule="auto"/>
              <w:ind w:firstLine="0"/>
              <w:jc w:val="left"/>
            </w:pPr>
            <w:r>
              <w:rPr>
                <w:rFonts w:ascii="Arial" w:eastAsia="Arial" w:hAnsi="Arial" w:cs="Arial"/>
                <w:sz w:val="14"/>
              </w:rPr>
              <w:t>12</w:t>
            </w:r>
          </w:p>
        </w:tc>
      </w:tr>
      <w:tr w:rsidR="00176F09" w14:paraId="53CE82E4" w14:textId="77777777" w:rsidTr="00AC4723">
        <w:trPr>
          <w:trHeight w:hRule="exact" w:val="340"/>
        </w:trPr>
        <w:tc>
          <w:tcPr>
            <w:tcW w:w="1418" w:type="dxa"/>
            <w:tcBorders>
              <w:top w:val="nil"/>
              <w:left w:val="nil"/>
              <w:bottom w:val="nil"/>
              <w:right w:val="nil"/>
            </w:tcBorders>
          </w:tcPr>
          <w:p w14:paraId="736181FA" w14:textId="5A5F40AF" w:rsidR="00176F09" w:rsidRDefault="00176F09" w:rsidP="00176F09">
            <w:pPr>
              <w:spacing w:after="0" w:line="259" w:lineRule="auto"/>
              <w:ind w:firstLine="0"/>
              <w:jc w:val="left"/>
            </w:pPr>
            <w:r w:rsidRPr="00F1145E">
              <w:rPr>
                <w:rFonts w:ascii="宋体" w:eastAsia="宋体" w:hAnsi="宋体" w:cs="宋体" w:hint="eastAsia"/>
              </w:rPr>
              <w:t>仓鼠</w:t>
            </w:r>
          </w:p>
        </w:tc>
        <w:tc>
          <w:tcPr>
            <w:tcW w:w="2917" w:type="dxa"/>
            <w:tcBorders>
              <w:top w:val="nil"/>
              <w:left w:val="nil"/>
              <w:bottom w:val="nil"/>
              <w:right w:val="nil"/>
            </w:tcBorders>
          </w:tcPr>
          <w:p w14:paraId="4BCFC7D3" w14:textId="4172115F" w:rsidR="00176F09" w:rsidRDefault="00176F09" w:rsidP="00176F09">
            <w:pPr>
              <w:spacing w:after="160" w:line="259" w:lineRule="auto"/>
              <w:ind w:firstLine="0"/>
              <w:jc w:val="left"/>
            </w:pPr>
            <w:r>
              <w:rPr>
                <w:rFonts w:ascii="Arial" w:eastAsia="Arial" w:hAnsi="Arial" w:cs="Arial"/>
                <w:sz w:val="14"/>
              </w:rPr>
              <w:t>5</w:t>
            </w:r>
          </w:p>
        </w:tc>
        <w:tc>
          <w:tcPr>
            <w:tcW w:w="2067" w:type="dxa"/>
            <w:tcBorders>
              <w:top w:val="nil"/>
              <w:left w:val="nil"/>
              <w:bottom w:val="nil"/>
              <w:right w:val="nil"/>
            </w:tcBorders>
          </w:tcPr>
          <w:p w14:paraId="797606D2" w14:textId="609FF243" w:rsidR="00176F09" w:rsidRDefault="00176F09" w:rsidP="00176F09">
            <w:pPr>
              <w:spacing w:after="160" w:line="259" w:lineRule="auto"/>
              <w:ind w:firstLine="0"/>
              <w:jc w:val="left"/>
            </w:pPr>
            <w:r>
              <w:rPr>
                <w:rFonts w:ascii="Arial" w:eastAsia="Arial" w:hAnsi="Arial" w:cs="Arial"/>
                <w:sz w:val="14"/>
              </w:rPr>
              <w:t>7.4</w:t>
            </w:r>
          </w:p>
        </w:tc>
        <w:tc>
          <w:tcPr>
            <w:tcW w:w="2067" w:type="dxa"/>
            <w:tcBorders>
              <w:top w:val="nil"/>
              <w:left w:val="nil"/>
              <w:bottom w:val="nil"/>
              <w:right w:val="nil"/>
            </w:tcBorders>
          </w:tcPr>
          <w:p w14:paraId="0E19028F" w14:textId="65B43DCE" w:rsidR="00176F09" w:rsidRDefault="00176F09" w:rsidP="00176F09">
            <w:pPr>
              <w:spacing w:after="160" w:line="259" w:lineRule="auto"/>
              <w:ind w:firstLine="0"/>
              <w:jc w:val="left"/>
            </w:pPr>
            <w:r>
              <w:rPr>
                <w:rFonts w:ascii="Arial" w:eastAsia="Arial" w:hAnsi="Arial" w:cs="Arial"/>
                <w:sz w:val="14"/>
              </w:rPr>
              <w:t>−</w:t>
            </w:r>
          </w:p>
        </w:tc>
        <w:tc>
          <w:tcPr>
            <w:tcW w:w="1948" w:type="dxa"/>
            <w:tcBorders>
              <w:top w:val="nil"/>
              <w:left w:val="nil"/>
              <w:bottom w:val="nil"/>
              <w:right w:val="nil"/>
            </w:tcBorders>
          </w:tcPr>
          <w:p w14:paraId="0DB0D455" w14:textId="63B8C3C2" w:rsidR="00176F09" w:rsidRDefault="00176F09" w:rsidP="00176F09">
            <w:pPr>
              <w:spacing w:after="160" w:line="259" w:lineRule="auto"/>
              <w:ind w:firstLine="0"/>
              <w:jc w:val="left"/>
            </w:pPr>
            <w:r>
              <w:rPr>
                <w:rFonts w:ascii="Arial" w:eastAsia="Arial" w:hAnsi="Arial" w:cs="Arial"/>
                <w:sz w:val="14"/>
              </w:rPr>
              <w:t>−</w:t>
            </w:r>
          </w:p>
        </w:tc>
      </w:tr>
      <w:tr w:rsidR="00176F09" w14:paraId="551B26B9" w14:textId="77777777" w:rsidTr="00AC4723">
        <w:trPr>
          <w:trHeight w:hRule="exact" w:val="340"/>
        </w:trPr>
        <w:tc>
          <w:tcPr>
            <w:tcW w:w="1418" w:type="dxa"/>
            <w:tcBorders>
              <w:top w:val="nil"/>
              <w:left w:val="nil"/>
              <w:bottom w:val="nil"/>
              <w:right w:val="nil"/>
            </w:tcBorders>
          </w:tcPr>
          <w:p w14:paraId="34803FA4" w14:textId="4C635898" w:rsidR="00176F09" w:rsidRDefault="00176F09" w:rsidP="00176F09">
            <w:pPr>
              <w:spacing w:after="0" w:line="259" w:lineRule="auto"/>
              <w:ind w:firstLine="0"/>
              <w:jc w:val="left"/>
            </w:pPr>
            <w:r w:rsidRPr="00F1145E">
              <w:rPr>
                <w:rFonts w:ascii="宋体" w:eastAsia="宋体" w:hAnsi="宋体" w:cs="宋体" w:hint="eastAsia"/>
              </w:rPr>
              <w:t>鼠</w:t>
            </w:r>
          </w:p>
        </w:tc>
        <w:tc>
          <w:tcPr>
            <w:tcW w:w="2917" w:type="dxa"/>
            <w:tcBorders>
              <w:top w:val="nil"/>
              <w:left w:val="nil"/>
              <w:bottom w:val="nil"/>
              <w:right w:val="nil"/>
            </w:tcBorders>
          </w:tcPr>
          <w:p w14:paraId="6EF260B6" w14:textId="5011302B" w:rsidR="00176F09" w:rsidRDefault="00176F09" w:rsidP="00176F09">
            <w:pPr>
              <w:spacing w:after="160" w:line="259" w:lineRule="auto"/>
              <w:ind w:firstLine="0"/>
              <w:jc w:val="left"/>
            </w:pPr>
            <w:r>
              <w:rPr>
                <w:rFonts w:ascii="Arial" w:eastAsia="Arial" w:hAnsi="Arial" w:cs="Arial"/>
                <w:sz w:val="14"/>
              </w:rPr>
              <w:t>4</w:t>
            </w:r>
          </w:p>
        </w:tc>
        <w:tc>
          <w:tcPr>
            <w:tcW w:w="2067" w:type="dxa"/>
            <w:tcBorders>
              <w:top w:val="nil"/>
              <w:left w:val="nil"/>
              <w:bottom w:val="nil"/>
              <w:right w:val="nil"/>
            </w:tcBorders>
          </w:tcPr>
          <w:p w14:paraId="1F49352D" w14:textId="731DE7BA" w:rsidR="00176F09" w:rsidRDefault="00176F09" w:rsidP="00176F09">
            <w:pPr>
              <w:spacing w:after="160" w:line="259" w:lineRule="auto"/>
              <w:ind w:firstLine="0"/>
              <w:jc w:val="left"/>
            </w:pPr>
            <w:r>
              <w:rPr>
                <w:rFonts w:ascii="Arial" w:eastAsia="Arial" w:hAnsi="Arial" w:cs="Arial"/>
                <w:sz w:val="14"/>
              </w:rPr>
              <w:t>6.2</w:t>
            </w:r>
          </w:p>
        </w:tc>
        <w:tc>
          <w:tcPr>
            <w:tcW w:w="2067" w:type="dxa"/>
            <w:tcBorders>
              <w:top w:val="nil"/>
              <w:left w:val="nil"/>
              <w:bottom w:val="nil"/>
              <w:right w:val="nil"/>
            </w:tcBorders>
          </w:tcPr>
          <w:p w14:paraId="006F42D9" w14:textId="4EB3F528" w:rsidR="00176F09" w:rsidRDefault="00176F09" w:rsidP="00176F09">
            <w:pPr>
              <w:spacing w:after="160" w:line="259" w:lineRule="auto"/>
              <w:ind w:firstLine="0"/>
              <w:jc w:val="left"/>
            </w:pPr>
            <w:r>
              <w:rPr>
                <w:rFonts w:ascii="Arial" w:eastAsia="Arial" w:hAnsi="Arial" w:cs="Arial"/>
                <w:sz w:val="14"/>
              </w:rPr>
              <w:t>4</w:t>
            </w:r>
          </w:p>
        </w:tc>
        <w:tc>
          <w:tcPr>
            <w:tcW w:w="1948" w:type="dxa"/>
            <w:tcBorders>
              <w:top w:val="nil"/>
              <w:left w:val="nil"/>
              <w:bottom w:val="nil"/>
              <w:right w:val="nil"/>
            </w:tcBorders>
          </w:tcPr>
          <w:p w14:paraId="695DF8B5" w14:textId="423ACA36" w:rsidR="00176F09" w:rsidRDefault="00176F09" w:rsidP="00176F09">
            <w:pPr>
              <w:spacing w:after="160" w:line="259" w:lineRule="auto"/>
              <w:ind w:firstLine="0"/>
              <w:jc w:val="left"/>
            </w:pPr>
            <w:r>
              <w:rPr>
                <w:rFonts w:ascii="Arial" w:eastAsia="Arial" w:hAnsi="Arial" w:cs="Arial"/>
                <w:sz w:val="14"/>
              </w:rPr>
              <w:t>5</w:t>
            </w:r>
          </w:p>
        </w:tc>
      </w:tr>
      <w:tr w:rsidR="00176F09" w14:paraId="3F40ECEA" w14:textId="77777777" w:rsidTr="00AC4723">
        <w:trPr>
          <w:trHeight w:hRule="exact" w:val="340"/>
        </w:trPr>
        <w:tc>
          <w:tcPr>
            <w:tcW w:w="1418" w:type="dxa"/>
            <w:tcBorders>
              <w:top w:val="nil"/>
              <w:left w:val="nil"/>
              <w:bottom w:val="nil"/>
              <w:right w:val="nil"/>
            </w:tcBorders>
          </w:tcPr>
          <w:p w14:paraId="0DA9616D" w14:textId="39F2F0BA" w:rsidR="00176F09" w:rsidRDefault="00176F09" w:rsidP="00176F09">
            <w:pPr>
              <w:spacing w:after="0" w:line="259" w:lineRule="auto"/>
              <w:ind w:firstLine="0"/>
              <w:jc w:val="left"/>
            </w:pPr>
            <w:r w:rsidRPr="00F1145E">
              <w:rPr>
                <w:rFonts w:ascii="宋体" w:eastAsia="宋体" w:hAnsi="宋体" w:cs="宋体" w:hint="eastAsia"/>
              </w:rPr>
              <w:t>豚鼠</w:t>
            </w:r>
          </w:p>
        </w:tc>
        <w:tc>
          <w:tcPr>
            <w:tcW w:w="2917" w:type="dxa"/>
            <w:tcBorders>
              <w:top w:val="nil"/>
              <w:left w:val="nil"/>
              <w:bottom w:val="nil"/>
              <w:right w:val="nil"/>
            </w:tcBorders>
          </w:tcPr>
          <w:p w14:paraId="67CBACBF" w14:textId="3E71C67A" w:rsidR="00176F09" w:rsidRDefault="00176F09" w:rsidP="00176F09">
            <w:pPr>
              <w:spacing w:after="160" w:line="259" w:lineRule="auto"/>
              <w:ind w:firstLine="0"/>
              <w:jc w:val="left"/>
            </w:pPr>
            <w:r>
              <w:rPr>
                <w:rFonts w:ascii="Arial" w:eastAsia="Arial" w:hAnsi="Arial" w:cs="Arial"/>
                <w:sz w:val="14"/>
              </w:rPr>
              <w:t>3</w:t>
            </w:r>
          </w:p>
        </w:tc>
        <w:tc>
          <w:tcPr>
            <w:tcW w:w="2067" w:type="dxa"/>
            <w:tcBorders>
              <w:top w:val="nil"/>
              <w:left w:val="nil"/>
              <w:bottom w:val="nil"/>
              <w:right w:val="nil"/>
            </w:tcBorders>
          </w:tcPr>
          <w:p w14:paraId="564C9257" w14:textId="5D4FC048" w:rsidR="00176F09" w:rsidRDefault="00176F09" w:rsidP="00176F09">
            <w:pPr>
              <w:spacing w:after="160" w:line="259" w:lineRule="auto"/>
              <w:ind w:firstLine="0"/>
              <w:jc w:val="left"/>
            </w:pPr>
            <w:r>
              <w:rPr>
                <w:rFonts w:ascii="Arial" w:eastAsia="Arial" w:hAnsi="Arial" w:cs="Arial"/>
                <w:sz w:val="14"/>
              </w:rPr>
              <w:t>4.6</w:t>
            </w:r>
          </w:p>
        </w:tc>
        <w:tc>
          <w:tcPr>
            <w:tcW w:w="2067" w:type="dxa"/>
            <w:tcBorders>
              <w:top w:val="nil"/>
              <w:left w:val="nil"/>
              <w:bottom w:val="nil"/>
              <w:right w:val="nil"/>
            </w:tcBorders>
          </w:tcPr>
          <w:p w14:paraId="02DB0332" w14:textId="68D0D9E5" w:rsidR="00176F09" w:rsidRDefault="00176F09" w:rsidP="00176F09">
            <w:pPr>
              <w:spacing w:after="160" w:line="259" w:lineRule="auto"/>
              <w:ind w:firstLine="0"/>
              <w:jc w:val="left"/>
            </w:pPr>
            <w:r>
              <w:rPr>
                <w:rFonts w:ascii="Arial" w:eastAsia="Arial" w:hAnsi="Arial" w:cs="Arial"/>
                <w:sz w:val="14"/>
              </w:rPr>
              <w:t>3</w:t>
            </w:r>
          </w:p>
        </w:tc>
        <w:tc>
          <w:tcPr>
            <w:tcW w:w="1948" w:type="dxa"/>
            <w:tcBorders>
              <w:top w:val="nil"/>
              <w:left w:val="nil"/>
              <w:bottom w:val="nil"/>
              <w:right w:val="nil"/>
            </w:tcBorders>
          </w:tcPr>
          <w:p w14:paraId="1A6F69F7" w14:textId="646C4033" w:rsidR="00176F09" w:rsidRDefault="00176F09" w:rsidP="00176F09">
            <w:pPr>
              <w:spacing w:after="160" w:line="259" w:lineRule="auto"/>
              <w:ind w:firstLine="0"/>
              <w:jc w:val="left"/>
            </w:pPr>
            <w:r>
              <w:rPr>
                <w:rFonts w:ascii="Arial" w:eastAsia="Arial" w:hAnsi="Arial" w:cs="Arial"/>
                <w:sz w:val="14"/>
              </w:rPr>
              <w:t>−</w:t>
            </w:r>
          </w:p>
        </w:tc>
      </w:tr>
      <w:tr w:rsidR="00176F09" w14:paraId="277673F2" w14:textId="77777777" w:rsidTr="00AC4723">
        <w:trPr>
          <w:trHeight w:hRule="exact" w:val="340"/>
        </w:trPr>
        <w:tc>
          <w:tcPr>
            <w:tcW w:w="1418" w:type="dxa"/>
            <w:tcBorders>
              <w:top w:val="nil"/>
              <w:left w:val="nil"/>
              <w:bottom w:val="nil"/>
              <w:right w:val="nil"/>
            </w:tcBorders>
          </w:tcPr>
          <w:p w14:paraId="38CDB216" w14:textId="6E214044" w:rsidR="00176F09" w:rsidRDefault="00176F09" w:rsidP="00176F09">
            <w:pPr>
              <w:spacing w:after="0" w:line="259" w:lineRule="auto"/>
              <w:ind w:firstLine="0"/>
              <w:jc w:val="left"/>
            </w:pPr>
            <w:r w:rsidRPr="00F1145E">
              <w:rPr>
                <w:rFonts w:ascii="宋体" w:eastAsia="宋体" w:hAnsi="宋体" w:cs="宋体" w:hint="eastAsia"/>
              </w:rPr>
              <w:t>兔子</w:t>
            </w:r>
          </w:p>
        </w:tc>
        <w:tc>
          <w:tcPr>
            <w:tcW w:w="2917" w:type="dxa"/>
            <w:tcBorders>
              <w:top w:val="nil"/>
              <w:left w:val="nil"/>
              <w:bottom w:val="nil"/>
              <w:right w:val="nil"/>
            </w:tcBorders>
          </w:tcPr>
          <w:p w14:paraId="19A3CDDB" w14:textId="2DD7FC88" w:rsidR="00176F09" w:rsidRDefault="00176F09" w:rsidP="00176F09">
            <w:pPr>
              <w:spacing w:after="160" w:line="259" w:lineRule="auto"/>
              <w:ind w:firstLine="0"/>
              <w:jc w:val="left"/>
            </w:pPr>
            <w:r>
              <w:rPr>
                <w:rFonts w:ascii="Arial" w:eastAsia="Arial" w:hAnsi="Arial" w:cs="Arial"/>
                <w:sz w:val="14"/>
              </w:rPr>
              <w:t>2.4</w:t>
            </w:r>
          </w:p>
        </w:tc>
        <w:tc>
          <w:tcPr>
            <w:tcW w:w="2067" w:type="dxa"/>
            <w:tcBorders>
              <w:top w:val="nil"/>
              <w:left w:val="nil"/>
              <w:bottom w:val="nil"/>
              <w:right w:val="nil"/>
            </w:tcBorders>
          </w:tcPr>
          <w:p w14:paraId="40390635" w14:textId="579071C8" w:rsidR="00176F09" w:rsidRDefault="00176F09" w:rsidP="00176F09">
            <w:pPr>
              <w:spacing w:after="160" w:line="259" w:lineRule="auto"/>
              <w:ind w:firstLine="0"/>
              <w:jc w:val="left"/>
            </w:pPr>
            <w:r>
              <w:rPr>
                <w:rFonts w:ascii="Arial" w:eastAsia="Arial" w:hAnsi="Arial" w:cs="Arial"/>
                <w:sz w:val="14"/>
              </w:rPr>
              <w:t>3.1</w:t>
            </w:r>
          </w:p>
        </w:tc>
        <w:tc>
          <w:tcPr>
            <w:tcW w:w="2067" w:type="dxa"/>
            <w:tcBorders>
              <w:top w:val="nil"/>
              <w:left w:val="nil"/>
              <w:bottom w:val="nil"/>
              <w:right w:val="nil"/>
            </w:tcBorders>
          </w:tcPr>
          <w:p w14:paraId="085E3A9C" w14:textId="2F440248" w:rsidR="00176F09" w:rsidRDefault="00176F09" w:rsidP="00176F09">
            <w:pPr>
              <w:spacing w:after="160" w:line="259" w:lineRule="auto"/>
              <w:ind w:firstLine="0"/>
              <w:jc w:val="left"/>
            </w:pPr>
            <w:r>
              <w:rPr>
                <w:rFonts w:ascii="Arial" w:eastAsia="Arial" w:hAnsi="Arial" w:cs="Arial"/>
                <w:sz w:val="14"/>
              </w:rPr>
              <w:t>2</w:t>
            </w:r>
          </w:p>
        </w:tc>
        <w:tc>
          <w:tcPr>
            <w:tcW w:w="1948" w:type="dxa"/>
            <w:tcBorders>
              <w:top w:val="nil"/>
              <w:left w:val="nil"/>
              <w:bottom w:val="nil"/>
              <w:right w:val="nil"/>
            </w:tcBorders>
          </w:tcPr>
          <w:p w14:paraId="3B077092" w14:textId="27E7C26A" w:rsidR="00176F09" w:rsidRDefault="00176F09" w:rsidP="00176F09">
            <w:pPr>
              <w:spacing w:after="160" w:line="259" w:lineRule="auto"/>
              <w:ind w:firstLine="0"/>
              <w:jc w:val="left"/>
            </w:pPr>
            <w:r>
              <w:rPr>
                <w:rFonts w:ascii="Arial" w:eastAsia="Arial" w:hAnsi="Arial" w:cs="Arial"/>
                <w:sz w:val="14"/>
              </w:rPr>
              <w:t>2.5</w:t>
            </w:r>
          </w:p>
        </w:tc>
      </w:tr>
      <w:tr w:rsidR="00176F09" w14:paraId="0CA6A26D" w14:textId="77777777" w:rsidTr="00AC4723">
        <w:trPr>
          <w:trHeight w:hRule="exact" w:val="340"/>
        </w:trPr>
        <w:tc>
          <w:tcPr>
            <w:tcW w:w="1418" w:type="dxa"/>
            <w:tcBorders>
              <w:top w:val="nil"/>
              <w:left w:val="nil"/>
              <w:bottom w:val="nil"/>
              <w:right w:val="nil"/>
            </w:tcBorders>
          </w:tcPr>
          <w:p w14:paraId="064ADBC4" w14:textId="23433DA4" w:rsidR="00176F09" w:rsidRDefault="00176F09" w:rsidP="00176F09">
            <w:pPr>
              <w:spacing w:after="0" w:line="259" w:lineRule="auto"/>
              <w:ind w:firstLine="0"/>
              <w:jc w:val="left"/>
            </w:pPr>
            <w:r w:rsidRPr="00F1145E">
              <w:rPr>
                <w:rFonts w:ascii="宋体" w:eastAsia="宋体" w:hAnsi="宋体" w:cs="宋体" w:hint="eastAsia"/>
              </w:rPr>
              <w:t>狗</w:t>
            </w:r>
          </w:p>
        </w:tc>
        <w:tc>
          <w:tcPr>
            <w:tcW w:w="2917" w:type="dxa"/>
            <w:tcBorders>
              <w:top w:val="nil"/>
              <w:left w:val="nil"/>
              <w:bottom w:val="nil"/>
              <w:right w:val="nil"/>
            </w:tcBorders>
          </w:tcPr>
          <w:p w14:paraId="51820287" w14:textId="51FFA873" w:rsidR="00176F09" w:rsidRDefault="00176F09" w:rsidP="00176F09">
            <w:pPr>
              <w:spacing w:after="160" w:line="259" w:lineRule="auto"/>
              <w:ind w:firstLine="0"/>
              <w:jc w:val="left"/>
            </w:pPr>
            <w:r>
              <w:rPr>
                <w:rFonts w:ascii="Arial" w:eastAsia="Arial" w:hAnsi="Arial" w:cs="Arial"/>
                <w:sz w:val="14"/>
              </w:rPr>
              <w:t>1.4</w:t>
            </w:r>
          </w:p>
        </w:tc>
        <w:tc>
          <w:tcPr>
            <w:tcW w:w="2067" w:type="dxa"/>
            <w:tcBorders>
              <w:top w:val="nil"/>
              <w:left w:val="nil"/>
              <w:bottom w:val="nil"/>
              <w:right w:val="nil"/>
            </w:tcBorders>
          </w:tcPr>
          <w:p w14:paraId="5ABDCE73" w14:textId="5B69E783" w:rsidR="00176F09" w:rsidRDefault="00176F09" w:rsidP="00176F09">
            <w:pPr>
              <w:spacing w:after="160" w:line="259" w:lineRule="auto"/>
              <w:ind w:firstLine="0"/>
              <w:jc w:val="left"/>
            </w:pPr>
            <w:r>
              <w:rPr>
                <w:rFonts w:ascii="Arial" w:eastAsia="Arial" w:hAnsi="Arial" w:cs="Arial"/>
                <w:sz w:val="14"/>
              </w:rPr>
              <w:t>1.8</w:t>
            </w:r>
          </w:p>
        </w:tc>
        <w:tc>
          <w:tcPr>
            <w:tcW w:w="2067" w:type="dxa"/>
            <w:tcBorders>
              <w:top w:val="nil"/>
              <w:left w:val="nil"/>
              <w:bottom w:val="nil"/>
              <w:right w:val="nil"/>
            </w:tcBorders>
          </w:tcPr>
          <w:p w14:paraId="7DA065D4" w14:textId="5F1840B2" w:rsidR="00176F09" w:rsidRDefault="00176F09" w:rsidP="00176F09">
            <w:pPr>
              <w:spacing w:after="160" w:line="259" w:lineRule="auto"/>
              <w:ind w:firstLine="0"/>
              <w:jc w:val="left"/>
            </w:pPr>
            <w:r>
              <w:rPr>
                <w:rFonts w:ascii="Arial" w:eastAsia="Arial" w:hAnsi="Arial" w:cs="Arial"/>
                <w:sz w:val="14"/>
              </w:rPr>
              <w:t>−</w:t>
            </w:r>
          </w:p>
        </w:tc>
        <w:tc>
          <w:tcPr>
            <w:tcW w:w="1948" w:type="dxa"/>
            <w:tcBorders>
              <w:top w:val="nil"/>
              <w:left w:val="nil"/>
              <w:bottom w:val="nil"/>
              <w:right w:val="nil"/>
            </w:tcBorders>
          </w:tcPr>
          <w:p w14:paraId="04D57999" w14:textId="011A26D7" w:rsidR="00176F09" w:rsidRDefault="00176F09" w:rsidP="00176F09">
            <w:pPr>
              <w:spacing w:after="160" w:line="259" w:lineRule="auto"/>
              <w:ind w:firstLine="0"/>
              <w:jc w:val="left"/>
            </w:pPr>
            <w:r>
              <w:rPr>
                <w:rFonts w:ascii="Arial" w:eastAsia="Arial" w:hAnsi="Arial" w:cs="Arial"/>
                <w:sz w:val="14"/>
              </w:rPr>
              <w:t>2</w:t>
            </w:r>
          </w:p>
        </w:tc>
      </w:tr>
      <w:tr w:rsidR="00176F09" w14:paraId="6027A337" w14:textId="77777777" w:rsidTr="00AC4723">
        <w:trPr>
          <w:trHeight w:hRule="exact" w:val="340"/>
        </w:trPr>
        <w:tc>
          <w:tcPr>
            <w:tcW w:w="1418" w:type="dxa"/>
            <w:tcBorders>
              <w:top w:val="nil"/>
              <w:left w:val="nil"/>
              <w:bottom w:val="nil"/>
              <w:right w:val="nil"/>
            </w:tcBorders>
          </w:tcPr>
          <w:p w14:paraId="6FB1D9C8" w14:textId="590B62D5" w:rsidR="00176F09" w:rsidRDefault="00176F09" w:rsidP="00176F09">
            <w:pPr>
              <w:spacing w:after="0" w:line="259" w:lineRule="auto"/>
              <w:ind w:firstLine="0"/>
              <w:jc w:val="left"/>
            </w:pPr>
            <w:r w:rsidRPr="00F1145E">
              <w:rPr>
                <w:rFonts w:ascii="宋体" w:eastAsia="宋体" w:hAnsi="宋体" w:cs="宋体" w:hint="eastAsia"/>
              </w:rPr>
              <w:t>猴子</w:t>
            </w:r>
            <w:r w:rsidRPr="00F1145E">
              <w:t>A</w:t>
            </w:r>
          </w:p>
        </w:tc>
        <w:tc>
          <w:tcPr>
            <w:tcW w:w="2917" w:type="dxa"/>
            <w:tcBorders>
              <w:top w:val="nil"/>
              <w:left w:val="nil"/>
              <w:bottom w:val="nil"/>
              <w:right w:val="nil"/>
            </w:tcBorders>
          </w:tcPr>
          <w:p w14:paraId="3D369380" w14:textId="57EE22B6" w:rsidR="00176F09" w:rsidRDefault="00176F09" w:rsidP="00176F09">
            <w:pPr>
              <w:spacing w:after="160" w:line="259" w:lineRule="auto"/>
              <w:ind w:firstLine="0"/>
              <w:jc w:val="left"/>
            </w:pPr>
            <w:r>
              <w:rPr>
                <w:rFonts w:ascii="Arial" w:eastAsia="Arial" w:hAnsi="Arial" w:cs="Arial"/>
                <w:sz w:val="14"/>
              </w:rPr>
              <w:t>2</w:t>
            </w:r>
          </w:p>
        </w:tc>
        <w:tc>
          <w:tcPr>
            <w:tcW w:w="2067" w:type="dxa"/>
            <w:tcBorders>
              <w:top w:val="nil"/>
              <w:left w:val="nil"/>
              <w:bottom w:val="nil"/>
              <w:right w:val="nil"/>
            </w:tcBorders>
          </w:tcPr>
          <w:p w14:paraId="3D6FD83C" w14:textId="08E36EF9" w:rsidR="00176F09" w:rsidRDefault="00176F09" w:rsidP="00176F09">
            <w:pPr>
              <w:spacing w:after="160" w:line="259" w:lineRule="auto"/>
              <w:ind w:firstLine="0"/>
              <w:jc w:val="left"/>
            </w:pPr>
            <w:r>
              <w:rPr>
                <w:rFonts w:ascii="Arial" w:eastAsia="Arial" w:hAnsi="Arial" w:cs="Arial"/>
                <w:sz w:val="14"/>
              </w:rPr>
              <w:t>3.1</w:t>
            </w:r>
          </w:p>
        </w:tc>
        <w:tc>
          <w:tcPr>
            <w:tcW w:w="2067" w:type="dxa"/>
            <w:tcBorders>
              <w:top w:val="nil"/>
              <w:left w:val="nil"/>
              <w:bottom w:val="nil"/>
              <w:right w:val="nil"/>
            </w:tcBorders>
          </w:tcPr>
          <w:p w14:paraId="28C8208F" w14:textId="4076E3E0" w:rsidR="00176F09" w:rsidRDefault="00176F09" w:rsidP="00176F09">
            <w:pPr>
              <w:spacing w:after="160" w:line="259" w:lineRule="auto"/>
              <w:ind w:firstLine="0"/>
              <w:jc w:val="left"/>
            </w:pPr>
            <w:r>
              <w:rPr>
                <w:rFonts w:ascii="Arial" w:eastAsia="Arial" w:hAnsi="Arial" w:cs="Arial"/>
                <w:sz w:val="14"/>
              </w:rPr>
              <w:t>−</w:t>
            </w:r>
          </w:p>
        </w:tc>
        <w:tc>
          <w:tcPr>
            <w:tcW w:w="1948" w:type="dxa"/>
            <w:tcBorders>
              <w:top w:val="nil"/>
              <w:left w:val="nil"/>
              <w:bottom w:val="nil"/>
              <w:right w:val="nil"/>
            </w:tcBorders>
          </w:tcPr>
          <w:p w14:paraId="2F941CF5" w14:textId="6350C0C6" w:rsidR="00176F09" w:rsidRDefault="00176F09" w:rsidP="00176F09">
            <w:pPr>
              <w:spacing w:after="160" w:line="259" w:lineRule="auto"/>
              <w:ind w:firstLine="0"/>
              <w:jc w:val="left"/>
            </w:pPr>
            <w:r>
              <w:rPr>
                <w:rFonts w:ascii="Arial" w:eastAsia="Arial" w:hAnsi="Arial" w:cs="Arial"/>
                <w:sz w:val="14"/>
              </w:rPr>
              <w:t>3</w:t>
            </w:r>
          </w:p>
        </w:tc>
      </w:tr>
      <w:tr w:rsidR="00176F09" w14:paraId="78489C9C" w14:textId="77777777" w:rsidTr="00AC4723">
        <w:trPr>
          <w:trHeight w:hRule="exact" w:val="340"/>
        </w:trPr>
        <w:tc>
          <w:tcPr>
            <w:tcW w:w="1418" w:type="dxa"/>
            <w:tcBorders>
              <w:top w:val="nil"/>
              <w:left w:val="nil"/>
              <w:bottom w:val="nil"/>
              <w:right w:val="nil"/>
            </w:tcBorders>
          </w:tcPr>
          <w:p w14:paraId="6BAD685E" w14:textId="0F8A5163" w:rsidR="00176F09" w:rsidRDefault="00176F09" w:rsidP="00176F09">
            <w:pPr>
              <w:spacing w:after="0" w:line="259" w:lineRule="auto"/>
              <w:ind w:firstLine="0"/>
              <w:jc w:val="left"/>
            </w:pPr>
            <w:r w:rsidRPr="00F1145E">
              <w:rPr>
                <w:rFonts w:ascii="宋体" w:eastAsia="宋体" w:hAnsi="宋体" w:cs="宋体" w:hint="eastAsia"/>
              </w:rPr>
              <w:t>迷你猪</w:t>
            </w:r>
          </w:p>
        </w:tc>
        <w:tc>
          <w:tcPr>
            <w:tcW w:w="2917" w:type="dxa"/>
            <w:tcBorders>
              <w:top w:val="nil"/>
              <w:left w:val="nil"/>
              <w:bottom w:val="nil"/>
              <w:right w:val="nil"/>
            </w:tcBorders>
          </w:tcPr>
          <w:p w14:paraId="2091868D" w14:textId="65B67F46" w:rsidR="00176F09" w:rsidRDefault="00176F09" w:rsidP="00176F09">
            <w:pPr>
              <w:spacing w:after="160" w:line="259" w:lineRule="auto"/>
              <w:ind w:firstLine="0"/>
              <w:jc w:val="left"/>
            </w:pPr>
            <w:r>
              <w:rPr>
                <w:rFonts w:ascii="Arial" w:eastAsia="Arial" w:hAnsi="Arial" w:cs="Arial"/>
                <w:sz w:val="14"/>
              </w:rPr>
              <w:t>−</w:t>
            </w:r>
          </w:p>
        </w:tc>
        <w:tc>
          <w:tcPr>
            <w:tcW w:w="2067" w:type="dxa"/>
            <w:tcBorders>
              <w:top w:val="nil"/>
              <w:left w:val="nil"/>
              <w:bottom w:val="nil"/>
              <w:right w:val="nil"/>
            </w:tcBorders>
          </w:tcPr>
          <w:p w14:paraId="795050BB" w14:textId="18250CE4" w:rsidR="00176F09" w:rsidRDefault="00176F09" w:rsidP="00176F09">
            <w:pPr>
              <w:spacing w:after="160" w:line="259" w:lineRule="auto"/>
              <w:ind w:firstLine="0"/>
              <w:jc w:val="left"/>
            </w:pPr>
            <w:r>
              <w:rPr>
                <w:rFonts w:ascii="Arial" w:eastAsia="Arial" w:hAnsi="Arial" w:cs="Arial"/>
                <w:sz w:val="14"/>
              </w:rPr>
              <w:t>1.1</w:t>
            </w:r>
          </w:p>
        </w:tc>
        <w:tc>
          <w:tcPr>
            <w:tcW w:w="2067" w:type="dxa"/>
            <w:tcBorders>
              <w:top w:val="nil"/>
              <w:left w:val="nil"/>
              <w:bottom w:val="nil"/>
              <w:right w:val="nil"/>
            </w:tcBorders>
          </w:tcPr>
          <w:p w14:paraId="47757712" w14:textId="2C10E1D7" w:rsidR="00176F09" w:rsidRDefault="00176F09" w:rsidP="00176F09">
            <w:pPr>
              <w:spacing w:after="160" w:line="259" w:lineRule="auto"/>
              <w:ind w:firstLine="0"/>
              <w:jc w:val="left"/>
            </w:pPr>
            <w:r>
              <w:rPr>
                <w:rFonts w:ascii="Arial" w:eastAsia="Arial" w:hAnsi="Arial" w:cs="Arial"/>
                <w:sz w:val="14"/>
              </w:rPr>
              <w:t>−</w:t>
            </w:r>
          </w:p>
        </w:tc>
        <w:tc>
          <w:tcPr>
            <w:tcW w:w="1948" w:type="dxa"/>
            <w:tcBorders>
              <w:top w:val="nil"/>
              <w:left w:val="nil"/>
              <w:bottom w:val="nil"/>
              <w:right w:val="nil"/>
            </w:tcBorders>
          </w:tcPr>
          <w:p w14:paraId="5B0C0C81" w14:textId="2C004E63" w:rsidR="00176F09" w:rsidRDefault="00176F09" w:rsidP="00176F09">
            <w:pPr>
              <w:spacing w:after="160" w:line="259" w:lineRule="auto"/>
              <w:ind w:firstLine="0"/>
              <w:jc w:val="left"/>
            </w:pPr>
            <w:r>
              <w:rPr>
                <w:rFonts w:ascii="Arial" w:eastAsia="Arial" w:hAnsi="Arial" w:cs="Arial"/>
                <w:sz w:val="14"/>
              </w:rPr>
              <w:t>−</w:t>
            </w:r>
          </w:p>
        </w:tc>
      </w:tr>
      <w:tr w:rsidR="00176F09" w14:paraId="1790DA60" w14:textId="77777777" w:rsidTr="00AC4723">
        <w:trPr>
          <w:trHeight w:hRule="exact" w:val="340"/>
        </w:trPr>
        <w:tc>
          <w:tcPr>
            <w:tcW w:w="1418" w:type="dxa"/>
            <w:tcBorders>
              <w:top w:val="nil"/>
              <w:left w:val="nil"/>
              <w:bottom w:val="single" w:sz="8" w:space="0" w:color="221F1F"/>
              <w:right w:val="nil"/>
            </w:tcBorders>
          </w:tcPr>
          <w:p w14:paraId="14ACFC8B" w14:textId="4E9853A8" w:rsidR="00176F09" w:rsidRDefault="00176F09" w:rsidP="00176F09">
            <w:pPr>
              <w:spacing w:after="0" w:line="259" w:lineRule="auto"/>
              <w:ind w:firstLine="0"/>
              <w:jc w:val="left"/>
            </w:pPr>
            <w:r w:rsidRPr="00F1145E">
              <w:rPr>
                <w:rFonts w:ascii="宋体" w:eastAsia="宋体" w:hAnsi="宋体" w:cs="宋体" w:hint="eastAsia"/>
              </w:rPr>
              <w:t>其他种类</w:t>
            </w:r>
          </w:p>
        </w:tc>
        <w:tc>
          <w:tcPr>
            <w:tcW w:w="2917" w:type="dxa"/>
            <w:tcBorders>
              <w:top w:val="nil"/>
              <w:left w:val="nil"/>
              <w:bottom w:val="single" w:sz="8" w:space="0" w:color="221F1F"/>
              <w:right w:val="nil"/>
            </w:tcBorders>
          </w:tcPr>
          <w:p w14:paraId="6761BC74" w14:textId="253D947F" w:rsidR="00176F09" w:rsidRDefault="00176F09" w:rsidP="00176F09">
            <w:pPr>
              <w:spacing w:after="160" w:line="259" w:lineRule="auto"/>
              <w:ind w:firstLine="0"/>
              <w:jc w:val="left"/>
            </w:pPr>
            <w:r>
              <w:rPr>
                <w:rFonts w:ascii="Arial" w:eastAsia="Arial" w:hAnsi="Arial" w:cs="Arial"/>
                <w:sz w:val="14"/>
              </w:rPr>
              <w:t>BW</w:t>
            </w:r>
            <w:r>
              <w:rPr>
                <w:rFonts w:ascii="Arial" w:eastAsia="Arial" w:hAnsi="Arial" w:cs="Arial"/>
                <w:sz w:val="9"/>
              </w:rPr>
              <w:t>0.75</w:t>
            </w:r>
          </w:p>
        </w:tc>
        <w:tc>
          <w:tcPr>
            <w:tcW w:w="2067" w:type="dxa"/>
            <w:tcBorders>
              <w:top w:val="nil"/>
              <w:left w:val="nil"/>
              <w:bottom w:val="single" w:sz="8" w:space="0" w:color="221F1F"/>
              <w:right w:val="nil"/>
            </w:tcBorders>
          </w:tcPr>
          <w:p w14:paraId="0C1EDB57" w14:textId="606C56C6" w:rsidR="00176F09" w:rsidRDefault="00176F09" w:rsidP="00176F09">
            <w:pPr>
              <w:spacing w:after="160" w:line="259" w:lineRule="auto"/>
              <w:ind w:firstLine="0"/>
              <w:jc w:val="left"/>
            </w:pPr>
            <w:r>
              <w:rPr>
                <w:rFonts w:ascii="Arial" w:eastAsia="Arial" w:hAnsi="Arial" w:cs="Arial"/>
                <w:sz w:val="14"/>
              </w:rPr>
              <w:t>HED</w:t>
            </w:r>
            <w:r>
              <w:rPr>
                <w:rFonts w:ascii="Arial" w:eastAsia="Arial" w:hAnsi="Arial" w:cs="Arial"/>
                <w:i/>
                <w:sz w:val="14"/>
                <w:vertAlign w:val="superscript"/>
              </w:rPr>
              <w:t>B</w:t>
            </w:r>
          </w:p>
        </w:tc>
        <w:tc>
          <w:tcPr>
            <w:tcW w:w="2067" w:type="dxa"/>
            <w:tcBorders>
              <w:top w:val="nil"/>
              <w:left w:val="nil"/>
              <w:bottom w:val="single" w:sz="8" w:space="0" w:color="221F1F"/>
              <w:right w:val="nil"/>
            </w:tcBorders>
          </w:tcPr>
          <w:p w14:paraId="7449EB5A" w14:textId="1EB4CA4D" w:rsidR="00176F09" w:rsidRDefault="00176F09" w:rsidP="00176F09">
            <w:pPr>
              <w:spacing w:after="160" w:line="259" w:lineRule="auto"/>
              <w:ind w:firstLine="0"/>
              <w:jc w:val="left"/>
            </w:pPr>
            <w:r>
              <w:rPr>
                <w:rFonts w:ascii="Arial" w:eastAsia="Arial" w:hAnsi="Arial" w:cs="Arial"/>
                <w:sz w:val="14"/>
              </w:rPr>
              <w:t>BW</w:t>
            </w:r>
            <w:r>
              <w:rPr>
                <w:rFonts w:ascii="Arial" w:eastAsia="Arial" w:hAnsi="Arial" w:cs="Arial"/>
                <w:sz w:val="9"/>
              </w:rPr>
              <w:t>0.75</w:t>
            </w:r>
          </w:p>
        </w:tc>
        <w:tc>
          <w:tcPr>
            <w:tcW w:w="1948" w:type="dxa"/>
            <w:tcBorders>
              <w:top w:val="nil"/>
              <w:left w:val="nil"/>
              <w:bottom w:val="single" w:sz="8" w:space="0" w:color="221F1F"/>
              <w:right w:val="nil"/>
            </w:tcBorders>
          </w:tcPr>
          <w:p w14:paraId="52D6DAB3" w14:textId="77777777" w:rsidR="00176F09" w:rsidRDefault="00176F09" w:rsidP="00176F09">
            <w:pPr>
              <w:spacing w:after="0" w:line="259" w:lineRule="auto"/>
              <w:ind w:firstLine="0"/>
              <w:jc w:val="left"/>
            </w:pPr>
            <w:r>
              <w:rPr>
                <w:rFonts w:ascii="Arial" w:eastAsia="Arial" w:hAnsi="Arial" w:cs="Arial"/>
                <w:sz w:val="14"/>
              </w:rPr>
              <w:t>10 or BW</w:t>
            </w:r>
            <w:r>
              <w:rPr>
                <w:rFonts w:ascii="Arial" w:eastAsia="Arial" w:hAnsi="Arial" w:cs="Arial"/>
                <w:sz w:val="14"/>
                <w:vertAlign w:val="superscript"/>
              </w:rPr>
              <w:t>0.67</w:t>
            </w:r>
          </w:p>
        </w:tc>
      </w:tr>
    </w:tbl>
    <w:p w14:paraId="2D5E8DB9" w14:textId="77777777" w:rsidR="00176F09" w:rsidRPr="00176F09" w:rsidRDefault="00284695">
      <w:pPr>
        <w:spacing w:after="1" w:line="256" w:lineRule="auto"/>
        <w:ind w:left="-5" w:hanging="10"/>
        <w:jc w:val="left"/>
        <w:rPr>
          <w:rFonts w:ascii="Arial" w:eastAsia="Arial" w:hAnsi="Arial" w:cs="Arial"/>
          <w:sz w:val="21"/>
          <w:szCs w:val="21"/>
        </w:rPr>
      </w:pPr>
      <w:r w:rsidRPr="00176F09">
        <w:rPr>
          <w:rFonts w:ascii="Arial" w:eastAsia="Arial" w:hAnsi="Arial" w:cs="Arial"/>
          <w:i/>
          <w:sz w:val="21"/>
          <w:szCs w:val="21"/>
        </w:rPr>
        <w:t xml:space="preserve">A </w:t>
      </w:r>
      <w:r w:rsidR="00DF6756" w:rsidRPr="00176F09">
        <w:rPr>
          <w:rFonts w:ascii="宋体" w:eastAsia="宋体" w:hAnsi="宋体" w:cs="宋体" w:hint="eastAsia"/>
          <w:sz w:val="21"/>
          <w:szCs w:val="21"/>
        </w:rPr>
        <w:t>根据对文献的回顾，一组研究人员建议使用简化的异位分析方法，结合猴子的数据和比例因子得出单克隆抗体</w:t>
      </w:r>
      <w:r w:rsidR="00DF6756" w:rsidRPr="00176F09">
        <w:rPr>
          <w:rFonts w:ascii="Arial" w:eastAsia="Arial" w:hAnsi="Arial" w:cs="Arial"/>
          <w:sz w:val="21"/>
          <w:szCs w:val="21"/>
        </w:rPr>
        <w:t>0.85</w:t>
      </w:r>
      <w:r w:rsidR="00DF6756" w:rsidRPr="00176F09">
        <w:rPr>
          <w:rFonts w:ascii="宋体" w:eastAsia="宋体" w:hAnsi="宋体" w:cs="宋体" w:hint="eastAsia"/>
          <w:sz w:val="21"/>
          <w:szCs w:val="21"/>
        </w:rPr>
        <w:t>（</w:t>
      </w:r>
      <w:r w:rsidR="00DF6756" w:rsidRPr="00176F09">
        <w:rPr>
          <w:rFonts w:ascii="Arial" w:eastAsia="Arial" w:hAnsi="Arial" w:cs="Arial"/>
          <w:sz w:val="21"/>
          <w:szCs w:val="21"/>
        </w:rPr>
        <w:t>67</w:t>
      </w:r>
      <w:r w:rsidR="00DF6756" w:rsidRPr="00176F09">
        <w:rPr>
          <w:rFonts w:ascii="宋体" w:eastAsia="宋体" w:hAnsi="宋体" w:cs="宋体" w:hint="eastAsia"/>
          <w:sz w:val="21"/>
          <w:szCs w:val="21"/>
        </w:rPr>
        <w:t>）。</w:t>
      </w:r>
      <w:r w:rsidR="00DF6756" w:rsidRPr="00176F09">
        <w:rPr>
          <w:rFonts w:ascii="Arial" w:eastAsia="Arial" w:hAnsi="Arial" w:cs="Arial"/>
          <w:sz w:val="21"/>
          <w:szCs w:val="21"/>
        </w:rPr>
        <w:t xml:space="preserve"> </w:t>
      </w:r>
    </w:p>
    <w:p w14:paraId="2B164415" w14:textId="6464200E" w:rsidR="0026097E" w:rsidRPr="00176F09" w:rsidRDefault="00DF6756">
      <w:pPr>
        <w:spacing w:after="1" w:line="256" w:lineRule="auto"/>
        <w:ind w:left="-5" w:hanging="10"/>
        <w:jc w:val="left"/>
        <w:rPr>
          <w:sz w:val="28"/>
          <w:szCs w:val="28"/>
        </w:rPr>
      </w:pPr>
      <w:r w:rsidRPr="00176F09">
        <w:rPr>
          <w:rFonts w:ascii="Arial" w:eastAsia="Arial" w:hAnsi="Arial" w:cs="Arial"/>
          <w:sz w:val="21"/>
          <w:szCs w:val="21"/>
        </w:rPr>
        <w:t xml:space="preserve"> HED</w:t>
      </w:r>
      <w:r w:rsidR="00176F09" w:rsidRPr="00176F09">
        <w:rPr>
          <w:rFonts w:ascii="Arial" w:eastAsia="Arial" w:hAnsi="Arial" w:cs="Arial"/>
          <w:sz w:val="21"/>
          <w:szCs w:val="21"/>
          <w:vertAlign w:val="superscript"/>
        </w:rPr>
        <w:t>B</w:t>
      </w:r>
      <w:r w:rsidRPr="00176F09">
        <w:rPr>
          <w:rFonts w:ascii="Arial" w:eastAsia="Arial" w:hAnsi="Arial" w:cs="Arial"/>
          <w:sz w:val="21"/>
          <w:szCs w:val="21"/>
          <w:vertAlign w:val="superscript"/>
        </w:rPr>
        <w:t xml:space="preserve"> </w:t>
      </w:r>
      <w:r w:rsidRPr="00176F09">
        <w:rPr>
          <w:rFonts w:ascii="Arial" w:eastAsia="Arial" w:hAnsi="Arial" w:cs="Arial"/>
          <w:sz w:val="21"/>
          <w:szCs w:val="21"/>
        </w:rPr>
        <w:t>=</w:t>
      </w:r>
      <w:r w:rsidRPr="00176F09">
        <w:rPr>
          <w:rFonts w:ascii="宋体" w:eastAsia="宋体" w:hAnsi="宋体" w:cs="宋体" w:hint="eastAsia"/>
          <w:sz w:val="21"/>
          <w:szCs w:val="21"/>
        </w:rPr>
        <w:t>以</w:t>
      </w:r>
      <w:proofErr w:type="gramStart"/>
      <w:r w:rsidRPr="00176F09">
        <w:rPr>
          <w:rFonts w:ascii="宋体" w:eastAsia="宋体" w:hAnsi="宋体" w:cs="宋体" w:hint="eastAsia"/>
          <w:sz w:val="21"/>
          <w:szCs w:val="21"/>
        </w:rPr>
        <w:t>毫克</w:t>
      </w:r>
      <w:r w:rsidRPr="00176F09">
        <w:rPr>
          <w:rFonts w:ascii="Arial" w:eastAsia="Arial" w:hAnsi="Arial" w:cs="Arial"/>
          <w:sz w:val="21"/>
          <w:szCs w:val="21"/>
        </w:rPr>
        <w:t>/</w:t>
      </w:r>
      <w:proofErr w:type="gramEnd"/>
      <w:r w:rsidRPr="00176F09">
        <w:rPr>
          <w:rFonts w:ascii="宋体" w:eastAsia="宋体" w:hAnsi="宋体" w:cs="宋体" w:hint="eastAsia"/>
          <w:sz w:val="21"/>
          <w:szCs w:val="21"/>
        </w:rPr>
        <w:t>千克计的动物剂量</w:t>
      </w:r>
      <w:r w:rsidRPr="00176F09">
        <w:rPr>
          <w:rFonts w:ascii="Arial" w:eastAsia="Arial" w:hAnsi="Arial" w:cs="Arial"/>
          <w:sz w:val="21"/>
          <w:szCs w:val="21"/>
        </w:rPr>
        <w:t>*</w:t>
      </w:r>
      <w:r w:rsidRPr="00176F09">
        <w:rPr>
          <w:rFonts w:ascii="宋体" w:eastAsia="宋体" w:hAnsi="宋体" w:cs="宋体" w:hint="eastAsia"/>
          <w:sz w:val="21"/>
          <w:szCs w:val="21"/>
        </w:rPr>
        <w:t>（以千克为单位的动物体重</w:t>
      </w:r>
      <w:r w:rsidRPr="00176F09">
        <w:rPr>
          <w:rFonts w:ascii="Arial" w:eastAsia="Arial" w:hAnsi="Arial" w:cs="Arial"/>
          <w:sz w:val="21"/>
          <w:szCs w:val="21"/>
        </w:rPr>
        <w:t>/</w:t>
      </w:r>
      <w:r w:rsidRPr="00176F09">
        <w:rPr>
          <w:rFonts w:ascii="宋体" w:eastAsia="宋体" w:hAnsi="宋体" w:cs="宋体" w:hint="eastAsia"/>
          <w:sz w:val="21"/>
          <w:szCs w:val="21"/>
        </w:rPr>
        <w:t>以千克为单位的人类体重）</w:t>
      </w:r>
      <w:r w:rsidR="00176F09" w:rsidRPr="00176F09">
        <w:rPr>
          <w:rFonts w:ascii="宋体" w:eastAsia="宋体" w:hAnsi="宋体" w:cs="宋体" w:hint="eastAsia"/>
          <w:sz w:val="28"/>
          <w:szCs w:val="28"/>
          <w:vertAlign w:val="superscript"/>
        </w:rPr>
        <w:t>0</w:t>
      </w:r>
      <w:r w:rsidR="00176F09" w:rsidRPr="00176F09">
        <w:rPr>
          <w:rFonts w:ascii="宋体" w:eastAsia="宋体" w:hAnsi="宋体" w:cs="宋体"/>
          <w:sz w:val="28"/>
          <w:szCs w:val="28"/>
          <w:vertAlign w:val="superscript"/>
        </w:rPr>
        <w:t>.33</w:t>
      </w:r>
    </w:p>
    <w:p w14:paraId="103E9DBE" w14:textId="3EF98D5F" w:rsidR="0026097E" w:rsidRDefault="008451D1" w:rsidP="00DF6756">
      <w:pPr>
        <w:spacing w:after="91" w:line="259" w:lineRule="auto"/>
        <w:ind w:left="426" w:firstLineChars="591" w:firstLine="1182"/>
        <w:jc w:val="left"/>
      </w:pPr>
      <w:r>
        <w:object w:dxaOrig="7231" w:dyaOrig="5446" w14:anchorId="36E9E06E">
          <v:shape id="_x0000_i1026" type="#_x0000_t75" style="width:328.5pt;height:224.25pt" o:ole="">
            <v:imagedata r:id="rId18" o:title=""/>
          </v:shape>
          <o:OLEObject Type="Embed" ProgID="Visio.Drawing.15" ShapeID="_x0000_i1026" DrawAspect="Content" ObjectID="_1660741750" r:id="rId19"/>
        </w:object>
      </w:r>
    </w:p>
    <w:p w14:paraId="2FAAD0A8" w14:textId="74BFCD19" w:rsidR="00DF6756" w:rsidRPr="00DF6756" w:rsidRDefault="00DF6756" w:rsidP="00DF6756">
      <w:pPr>
        <w:spacing w:after="0" w:line="259" w:lineRule="auto"/>
        <w:ind w:left="240" w:hanging="10"/>
        <w:jc w:val="left"/>
        <w:rPr>
          <w:rFonts w:ascii="Arial" w:eastAsia="Arial" w:hAnsi="Arial" w:cs="Arial"/>
          <w:b/>
          <w:sz w:val="16"/>
        </w:rPr>
      </w:pPr>
      <w:r>
        <w:rPr>
          <w:rFonts w:ascii="宋体" w:eastAsia="宋体" w:hAnsi="宋体" w:cs="宋体" w:hint="eastAsia"/>
          <w:b/>
          <w:sz w:val="16"/>
        </w:rPr>
        <w:t>图</w:t>
      </w:r>
      <w:r>
        <w:rPr>
          <w:rFonts w:ascii="宋体" w:eastAsia="宋体" w:hAnsi="宋体" w:cs="宋体"/>
          <w:b/>
          <w:sz w:val="16"/>
        </w:rPr>
        <w:t xml:space="preserve">2 </w:t>
      </w:r>
      <w:r w:rsidR="00284695">
        <w:rPr>
          <w:rFonts w:ascii="Arial" w:eastAsia="Arial" w:hAnsi="Arial" w:cs="Arial"/>
          <w:b/>
          <w:sz w:val="16"/>
        </w:rPr>
        <w:t xml:space="preserve"> </w:t>
      </w:r>
      <w:r w:rsidRPr="00DF6756">
        <w:rPr>
          <w:rFonts w:ascii="宋体" w:eastAsia="宋体" w:hAnsi="宋体" w:cs="宋体" w:hint="eastAsia"/>
          <w:b/>
          <w:sz w:val="16"/>
        </w:rPr>
        <w:t>根据</w:t>
      </w:r>
      <w:r w:rsidRPr="00DF6756">
        <w:rPr>
          <w:rFonts w:ascii="Arial" w:eastAsia="Arial" w:hAnsi="Arial" w:cs="Arial"/>
          <w:b/>
          <w:sz w:val="16"/>
        </w:rPr>
        <w:t>CSAF</w:t>
      </w:r>
      <w:r w:rsidRPr="00DF6756">
        <w:rPr>
          <w:rFonts w:ascii="宋体" w:eastAsia="宋体" w:hAnsi="宋体" w:cs="宋体" w:hint="eastAsia"/>
          <w:b/>
          <w:sz w:val="16"/>
        </w:rPr>
        <w:t>（</w:t>
      </w:r>
      <w:r w:rsidRPr="00DF6756">
        <w:rPr>
          <w:rFonts w:ascii="Arial" w:eastAsia="Arial" w:hAnsi="Arial" w:cs="Arial"/>
          <w:b/>
          <w:sz w:val="16"/>
        </w:rPr>
        <w:t>64</w:t>
      </w:r>
      <w:r w:rsidRPr="00DF6756">
        <w:rPr>
          <w:rFonts w:ascii="宋体" w:eastAsia="宋体" w:hAnsi="宋体" w:cs="宋体" w:hint="eastAsia"/>
          <w:b/>
          <w:sz w:val="16"/>
        </w:rPr>
        <w:t>）或</w:t>
      </w:r>
      <w:r w:rsidRPr="00DF6756">
        <w:rPr>
          <w:rFonts w:ascii="Arial" w:eastAsia="Arial" w:hAnsi="Arial" w:cs="Arial"/>
          <w:b/>
          <w:sz w:val="16"/>
        </w:rPr>
        <w:t>DEF</w:t>
      </w:r>
      <w:r w:rsidRPr="00DF6756">
        <w:rPr>
          <w:rFonts w:ascii="宋体" w:eastAsia="宋体" w:hAnsi="宋体" w:cs="宋体" w:hint="eastAsia"/>
          <w:b/>
          <w:sz w:val="16"/>
        </w:rPr>
        <w:t>的建议，由于其</w:t>
      </w:r>
      <w:r w:rsidRPr="00DF6756">
        <w:rPr>
          <w:rFonts w:ascii="Arial" w:eastAsia="Arial" w:hAnsi="Arial" w:cs="Arial"/>
          <w:b/>
          <w:sz w:val="16"/>
        </w:rPr>
        <w:t>TK</w:t>
      </w:r>
      <w:r w:rsidRPr="00DF6756">
        <w:rPr>
          <w:rFonts w:ascii="宋体" w:eastAsia="宋体" w:hAnsi="宋体" w:cs="宋体" w:hint="eastAsia"/>
          <w:b/>
          <w:sz w:val="16"/>
        </w:rPr>
        <w:t>和</w:t>
      </w:r>
      <w:r w:rsidRPr="00DF6756">
        <w:rPr>
          <w:rFonts w:ascii="Arial" w:eastAsia="Arial" w:hAnsi="Arial" w:cs="Arial"/>
          <w:b/>
          <w:sz w:val="16"/>
        </w:rPr>
        <w:t>TD</w:t>
      </w:r>
      <w:r w:rsidRPr="00DF6756">
        <w:rPr>
          <w:rFonts w:ascii="宋体" w:eastAsia="宋体" w:hAnsi="宋体" w:cs="宋体" w:hint="eastAsia"/>
          <w:b/>
          <w:sz w:val="16"/>
        </w:rPr>
        <w:t>成分而导致的</w:t>
      </w:r>
      <w:r w:rsidRPr="00DF6756">
        <w:rPr>
          <w:rFonts w:ascii="Arial" w:eastAsia="Arial" w:hAnsi="Arial" w:cs="Arial"/>
          <w:b/>
          <w:sz w:val="16"/>
        </w:rPr>
        <w:t>AFH</w:t>
      </w:r>
      <w:r w:rsidRPr="00DF6756">
        <w:rPr>
          <w:rFonts w:ascii="宋体" w:eastAsia="宋体" w:hAnsi="宋体" w:cs="宋体" w:hint="eastAsia"/>
          <w:b/>
          <w:sz w:val="16"/>
        </w:rPr>
        <w:t>和</w:t>
      </w:r>
      <w:r w:rsidRPr="00DF6756">
        <w:rPr>
          <w:rFonts w:ascii="Arial" w:eastAsia="Arial" w:hAnsi="Arial" w:cs="Arial"/>
          <w:b/>
          <w:sz w:val="16"/>
        </w:rPr>
        <w:t>AFA</w:t>
      </w:r>
      <w:r w:rsidRPr="00DF6756">
        <w:rPr>
          <w:rFonts w:ascii="宋体" w:eastAsia="宋体" w:hAnsi="宋体" w:cs="宋体" w:hint="eastAsia"/>
          <w:b/>
          <w:sz w:val="16"/>
        </w:rPr>
        <w:t>十倍调节因子</w:t>
      </w:r>
    </w:p>
    <w:p w14:paraId="345319CD" w14:textId="471383FD" w:rsidR="0026097E" w:rsidRDefault="00DF6756" w:rsidP="00DF6756">
      <w:pPr>
        <w:spacing w:after="0" w:line="259" w:lineRule="auto"/>
        <w:ind w:left="240" w:hanging="10"/>
        <w:jc w:val="left"/>
      </w:pPr>
      <w:r w:rsidRPr="00DF6756">
        <w:rPr>
          <w:rFonts w:ascii="宋体" w:eastAsia="宋体" w:hAnsi="宋体" w:cs="宋体" w:hint="eastAsia"/>
          <w:b/>
          <w:sz w:val="16"/>
        </w:rPr>
        <w:t>指南（</w:t>
      </w:r>
      <w:r w:rsidRPr="00DF6756">
        <w:rPr>
          <w:rFonts w:ascii="Arial" w:eastAsia="Arial" w:hAnsi="Arial" w:cs="Arial"/>
          <w:b/>
          <w:sz w:val="16"/>
        </w:rPr>
        <w:t>89</w:t>
      </w:r>
      <w:r w:rsidRPr="00DF6756">
        <w:rPr>
          <w:rFonts w:ascii="宋体" w:eastAsia="宋体" w:hAnsi="宋体" w:cs="宋体" w:hint="eastAsia"/>
          <w:b/>
          <w:sz w:val="16"/>
        </w:rPr>
        <w:t>）（图片摘自参考文献（</w:t>
      </w:r>
      <w:r w:rsidRPr="00DF6756">
        <w:rPr>
          <w:rFonts w:ascii="Arial" w:eastAsia="Arial" w:hAnsi="Arial" w:cs="Arial"/>
          <w:b/>
          <w:sz w:val="16"/>
        </w:rPr>
        <w:t>64</w:t>
      </w:r>
      <w:r w:rsidRPr="00DF6756">
        <w:rPr>
          <w:rFonts w:ascii="宋体" w:eastAsia="宋体" w:hAnsi="宋体" w:cs="宋体" w:hint="eastAsia"/>
          <w:b/>
          <w:sz w:val="16"/>
        </w:rPr>
        <w:t>））</w:t>
      </w:r>
    </w:p>
    <w:p w14:paraId="7311A224" w14:textId="77777777" w:rsidR="0026097E" w:rsidRDefault="0026097E">
      <w:pPr>
        <w:sectPr w:rsidR="0026097E">
          <w:type w:val="continuous"/>
          <w:pgSz w:w="11674" w:h="15625"/>
          <w:pgMar w:top="1197" w:right="623" w:bottom="1158" w:left="629" w:header="720" w:footer="720" w:gutter="0"/>
          <w:cols w:space="720"/>
        </w:sectPr>
      </w:pPr>
    </w:p>
    <w:p w14:paraId="068622A9" w14:textId="1DF26383" w:rsidR="0026097E" w:rsidRDefault="00284695">
      <w:pPr>
        <w:tabs>
          <w:tab w:val="center" w:pos="2624"/>
          <w:tab w:val="center" w:pos="3929"/>
        </w:tabs>
        <w:spacing w:after="13" w:line="257" w:lineRule="auto"/>
        <w:ind w:firstLine="0"/>
        <w:jc w:val="left"/>
      </w:pPr>
      <w:r>
        <w:rPr>
          <w:rFonts w:ascii="Calibri" w:eastAsia="Calibri" w:hAnsi="Calibri" w:cs="Calibri"/>
          <w:color w:val="000000"/>
          <w:sz w:val="22"/>
        </w:rPr>
        <w:tab/>
      </w:r>
    </w:p>
    <w:p w14:paraId="62EC704E" w14:textId="21C75CD4" w:rsidR="0026097E" w:rsidRDefault="00010C0D" w:rsidP="00010C0D">
      <w:pPr>
        <w:spacing w:after="0" w:line="259" w:lineRule="auto"/>
        <w:ind w:hanging="284"/>
      </w:pPr>
      <w:r w:rsidRPr="009E60E1">
        <w:rPr>
          <w:position w:val="-36"/>
        </w:rPr>
        <w:object w:dxaOrig="6840" w:dyaOrig="900" w14:anchorId="44E67EAC">
          <v:shape id="_x0000_i1027" type="#_x0000_t75" style="width:251.25pt;height:33pt" o:ole="">
            <v:imagedata r:id="rId20" o:title=""/>
          </v:shape>
          <o:OLEObject Type="Embed" ProgID="Equation.DSMT4" ShapeID="_x0000_i1027" DrawAspect="Content" ObjectID="_1660741751" r:id="rId21"/>
        </w:object>
      </w:r>
      <w:r w:rsidR="00DF6756">
        <w:rPr>
          <w:sz w:val="10"/>
        </w:rPr>
        <w:t xml:space="preserve"> </w:t>
      </w:r>
      <w:r w:rsidR="00DF6756">
        <w:rPr>
          <w:rFonts w:ascii="宋体" w:eastAsia="宋体" w:hAnsi="宋体" w:cs="宋体" w:hint="eastAsia"/>
          <w:sz w:val="10"/>
        </w:rPr>
        <w:t>（1</w:t>
      </w:r>
      <w:r w:rsidR="00DF6756">
        <w:rPr>
          <w:rFonts w:ascii="宋体" w:eastAsia="宋体" w:hAnsi="宋体" w:cs="宋体"/>
          <w:sz w:val="10"/>
        </w:rPr>
        <w:t>0</w:t>
      </w:r>
      <w:r w:rsidR="00DF6756">
        <w:rPr>
          <w:rFonts w:ascii="宋体" w:eastAsia="宋体" w:hAnsi="宋体" w:cs="宋体" w:hint="eastAsia"/>
          <w:sz w:val="10"/>
        </w:rPr>
        <w:t>）</w:t>
      </w:r>
    </w:p>
    <w:tbl>
      <w:tblPr>
        <w:tblStyle w:val="TableGrid"/>
        <w:tblW w:w="5029" w:type="dxa"/>
        <w:tblInd w:w="0" w:type="dxa"/>
        <w:tblLook w:val="04A0" w:firstRow="1" w:lastRow="0" w:firstColumn="1" w:lastColumn="0" w:noHBand="0" w:noVBand="1"/>
      </w:tblPr>
      <w:tblGrid>
        <w:gridCol w:w="604"/>
        <w:gridCol w:w="4425"/>
      </w:tblGrid>
      <w:tr w:rsidR="0026097E" w14:paraId="762B4DD7" w14:textId="77777777">
        <w:trPr>
          <w:trHeight w:val="242"/>
        </w:trPr>
        <w:tc>
          <w:tcPr>
            <w:tcW w:w="604" w:type="dxa"/>
            <w:tcBorders>
              <w:top w:val="nil"/>
              <w:left w:val="nil"/>
              <w:bottom w:val="nil"/>
              <w:right w:val="nil"/>
            </w:tcBorders>
          </w:tcPr>
          <w:p w14:paraId="47166BC5" w14:textId="77777777" w:rsidR="0026097E" w:rsidRDefault="00284695">
            <w:pPr>
              <w:spacing w:after="0" w:line="259" w:lineRule="auto"/>
              <w:ind w:firstLine="0"/>
              <w:jc w:val="left"/>
            </w:pPr>
            <w:r>
              <w:t>CL</w:t>
            </w:r>
          </w:p>
        </w:tc>
        <w:tc>
          <w:tcPr>
            <w:tcW w:w="4425" w:type="dxa"/>
            <w:tcBorders>
              <w:top w:val="nil"/>
              <w:left w:val="nil"/>
              <w:bottom w:val="nil"/>
              <w:right w:val="nil"/>
            </w:tcBorders>
          </w:tcPr>
          <w:p w14:paraId="42313E2E" w14:textId="2A4756CF" w:rsidR="0026097E" w:rsidRDefault="00284695">
            <w:pPr>
              <w:spacing w:after="0" w:line="259" w:lineRule="auto"/>
              <w:ind w:left="156" w:firstLine="0"/>
              <w:jc w:val="left"/>
            </w:pPr>
            <w:r>
              <w:t>=</w:t>
            </w:r>
            <w:r w:rsidR="00DF6756" w:rsidRPr="00DF6756">
              <w:rPr>
                <w:rFonts w:ascii="宋体" w:eastAsia="宋体" w:hAnsi="宋体" w:cs="宋体" w:hint="eastAsia"/>
              </w:rPr>
              <w:t>化合物的清除率</w:t>
            </w:r>
          </w:p>
        </w:tc>
      </w:tr>
      <w:tr w:rsidR="0026097E" w14:paraId="27C75351" w14:textId="77777777">
        <w:trPr>
          <w:trHeight w:val="229"/>
        </w:trPr>
        <w:tc>
          <w:tcPr>
            <w:tcW w:w="604" w:type="dxa"/>
            <w:tcBorders>
              <w:top w:val="nil"/>
              <w:left w:val="nil"/>
              <w:bottom w:val="nil"/>
              <w:right w:val="nil"/>
            </w:tcBorders>
          </w:tcPr>
          <w:p w14:paraId="765616DB" w14:textId="77777777" w:rsidR="0026097E" w:rsidRDefault="00284695">
            <w:pPr>
              <w:spacing w:after="0" w:line="259" w:lineRule="auto"/>
              <w:ind w:firstLine="0"/>
            </w:pPr>
            <w:r>
              <w:t>AUC</w:t>
            </w:r>
            <w:r>
              <w:rPr>
                <w:sz w:val="13"/>
              </w:rPr>
              <w:t>0-t</w:t>
            </w:r>
          </w:p>
        </w:tc>
        <w:tc>
          <w:tcPr>
            <w:tcW w:w="4425" w:type="dxa"/>
            <w:tcBorders>
              <w:top w:val="nil"/>
              <w:left w:val="nil"/>
              <w:bottom w:val="nil"/>
              <w:right w:val="nil"/>
            </w:tcBorders>
          </w:tcPr>
          <w:p w14:paraId="5FB7C32C" w14:textId="29311E62" w:rsidR="0026097E" w:rsidRDefault="00284695">
            <w:pPr>
              <w:spacing w:after="0" w:line="259" w:lineRule="auto"/>
              <w:ind w:left="156" w:firstLine="0"/>
              <w:jc w:val="left"/>
            </w:pPr>
            <w:r>
              <w:t>=</w:t>
            </w:r>
            <w:r w:rsidR="00DF6756" w:rsidRPr="00DF6756">
              <w:rPr>
                <w:rFonts w:ascii="宋体" w:eastAsia="宋体" w:hAnsi="宋体" w:cs="宋体" w:hint="eastAsia"/>
              </w:rPr>
              <w:t>曲线下的面积</w:t>
            </w:r>
          </w:p>
        </w:tc>
      </w:tr>
      <w:tr w:rsidR="0026097E" w14:paraId="059B5C1D" w14:textId="77777777">
        <w:trPr>
          <w:trHeight w:val="215"/>
        </w:trPr>
        <w:tc>
          <w:tcPr>
            <w:tcW w:w="604" w:type="dxa"/>
            <w:tcBorders>
              <w:top w:val="nil"/>
              <w:left w:val="nil"/>
              <w:bottom w:val="nil"/>
              <w:right w:val="nil"/>
            </w:tcBorders>
          </w:tcPr>
          <w:p w14:paraId="24D40638" w14:textId="77777777" w:rsidR="0026097E" w:rsidRDefault="00284695">
            <w:pPr>
              <w:spacing w:after="0" w:line="259" w:lineRule="auto"/>
              <w:ind w:firstLine="0"/>
              <w:jc w:val="left"/>
            </w:pPr>
            <w:proofErr w:type="spellStart"/>
            <w:r>
              <w:rPr>
                <w:i/>
              </w:rPr>
              <w:t>C</w:t>
            </w:r>
            <w:r>
              <w:rPr>
                <w:sz w:val="13"/>
              </w:rPr>
              <w:t>max</w:t>
            </w:r>
            <w:proofErr w:type="spellEnd"/>
          </w:p>
        </w:tc>
        <w:tc>
          <w:tcPr>
            <w:tcW w:w="4425" w:type="dxa"/>
            <w:tcBorders>
              <w:top w:val="nil"/>
              <w:left w:val="nil"/>
              <w:bottom w:val="nil"/>
              <w:right w:val="nil"/>
            </w:tcBorders>
          </w:tcPr>
          <w:p w14:paraId="74FF6A3B" w14:textId="5B8EF26D" w:rsidR="0026097E" w:rsidRDefault="00284695">
            <w:pPr>
              <w:spacing w:after="0" w:line="259" w:lineRule="auto"/>
              <w:ind w:left="156" w:firstLine="0"/>
              <w:jc w:val="left"/>
            </w:pPr>
            <w:r>
              <w:t>=</w:t>
            </w:r>
            <w:r w:rsidR="00DF6756" w:rsidRPr="00DF6756">
              <w:rPr>
                <w:rFonts w:ascii="宋体" w:eastAsia="宋体" w:hAnsi="宋体" w:cs="宋体" w:hint="eastAsia"/>
              </w:rPr>
              <w:t>最高（或峰值）血清浓度</w:t>
            </w:r>
            <w:r>
              <w:t>,</w:t>
            </w:r>
          </w:p>
        </w:tc>
      </w:tr>
      <w:tr w:rsidR="0026097E" w14:paraId="426CAA7A" w14:textId="77777777">
        <w:trPr>
          <w:trHeight w:val="214"/>
        </w:trPr>
        <w:tc>
          <w:tcPr>
            <w:tcW w:w="604" w:type="dxa"/>
            <w:tcBorders>
              <w:top w:val="nil"/>
              <w:left w:val="nil"/>
              <w:bottom w:val="nil"/>
              <w:right w:val="nil"/>
            </w:tcBorders>
          </w:tcPr>
          <w:p w14:paraId="34296F9F" w14:textId="77777777" w:rsidR="0026097E" w:rsidRDefault="00284695">
            <w:pPr>
              <w:spacing w:after="0" w:line="259" w:lineRule="auto"/>
              <w:ind w:firstLine="0"/>
              <w:jc w:val="left"/>
            </w:pPr>
            <w:r>
              <w:rPr>
                <w:i/>
              </w:rPr>
              <w:t>AF</w:t>
            </w:r>
            <w:r>
              <w:rPr>
                <w:vertAlign w:val="subscript"/>
              </w:rPr>
              <w:t>A</w:t>
            </w:r>
          </w:p>
        </w:tc>
        <w:tc>
          <w:tcPr>
            <w:tcW w:w="4425" w:type="dxa"/>
            <w:tcBorders>
              <w:top w:val="nil"/>
              <w:left w:val="nil"/>
              <w:bottom w:val="nil"/>
              <w:right w:val="nil"/>
            </w:tcBorders>
          </w:tcPr>
          <w:p w14:paraId="34ABEB3F" w14:textId="02CDC278" w:rsidR="0026097E" w:rsidRDefault="00284695">
            <w:pPr>
              <w:spacing w:after="0" w:line="259" w:lineRule="auto"/>
              <w:ind w:left="156" w:firstLine="0"/>
              <w:jc w:val="left"/>
            </w:pPr>
            <w:r>
              <w:t>=</w:t>
            </w:r>
            <w:r w:rsidR="00DF6756" w:rsidRPr="00DF6756">
              <w:rPr>
                <w:rFonts w:ascii="宋体" w:eastAsia="宋体" w:hAnsi="宋体" w:cs="宋体" w:hint="eastAsia"/>
              </w:rPr>
              <w:t>考虑动力学之间种间差异的调整因子</w:t>
            </w:r>
          </w:p>
        </w:tc>
      </w:tr>
    </w:tbl>
    <w:p w14:paraId="48FA44D2" w14:textId="17E30FE6" w:rsidR="0026097E" w:rsidRDefault="00284695">
      <w:pPr>
        <w:spacing w:after="13" w:line="257" w:lineRule="auto"/>
        <w:ind w:left="-15" w:firstLine="190"/>
      </w:pPr>
      <w:r>
        <w:rPr>
          <w:sz w:val="17"/>
        </w:rPr>
        <w:t>N</w:t>
      </w:r>
      <w:r>
        <w:rPr>
          <w:sz w:val="17"/>
          <w:vertAlign w:val="subscript"/>
        </w:rPr>
        <w:t xml:space="preserve">OTE </w:t>
      </w:r>
      <w:r>
        <w:rPr>
          <w:sz w:val="17"/>
        </w:rPr>
        <w:t>1—</w:t>
      </w:r>
      <w:r w:rsidR="00DF6756" w:rsidRPr="00DF6756">
        <w:rPr>
          <w:rFonts w:ascii="宋体" w:eastAsia="宋体" w:hAnsi="宋体" w:cs="宋体" w:hint="eastAsia"/>
          <w:sz w:val="17"/>
        </w:rPr>
        <w:t>下标</w:t>
      </w:r>
      <w:r w:rsidR="00DF6756" w:rsidRPr="00DF6756">
        <w:rPr>
          <w:sz w:val="17"/>
        </w:rPr>
        <w:t>A</w:t>
      </w:r>
      <w:r w:rsidR="00DF6756" w:rsidRPr="00DF6756">
        <w:rPr>
          <w:rFonts w:ascii="宋体" w:eastAsia="宋体" w:hAnsi="宋体" w:cs="宋体" w:hint="eastAsia"/>
          <w:sz w:val="17"/>
        </w:rPr>
        <w:t>表示动物的价值，下标</w:t>
      </w:r>
      <w:r w:rsidR="00DF6756" w:rsidRPr="00DF6756">
        <w:rPr>
          <w:sz w:val="17"/>
        </w:rPr>
        <w:t>H</w:t>
      </w:r>
      <w:r w:rsidR="00DF6756" w:rsidRPr="00DF6756">
        <w:rPr>
          <w:rFonts w:ascii="宋体" w:eastAsia="宋体" w:hAnsi="宋体" w:cs="宋体" w:hint="eastAsia"/>
          <w:sz w:val="17"/>
        </w:rPr>
        <w:t>表示人类的价值。</w:t>
      </w:r>
    </w:p>
    <w:p w14:paraId="442EFE43" w14:textId="0C643DE2" w:rsidR="0026097E" w:rsidRPr="00544D6C" w:rsidRDefault="00284695">
      <w:pPr>
        <w:spacing w:after="99"/>
        <w:ind w:left="-15" w:firstLine="309"/>
      </w:pPr>
      <w:r>
        <w:rPr>
          <w:i/>
        </w:rPr>
        <w:t xml:space="preserve">(5) </w:t>
      </w:r>
      <w:r w:rsidR="00992950" w:rsidRPr="00992950">
        <w:rPr>
          <w:rFonts w:ascii="宋体" w:eastAsia="宋体" w:hAnsi="宋体" w:cs="宋体" w:hint="eastAsia"/>
        </w:rPr>
        <w:t>当在目标人群中可获得关于其行为的足够的特定物质数据时，应使用</w:t>
      </w:r>
      <w:r w:rsidR="00992950" w:rsidRPr="00992950">
        <w:t>CSAF</w:t>
      </w:r>
      <w:r w:rsidR="00992950" w:rsidRPr="00992950">
        <w:rPr>
          <w:rFonts w:ascii="宋体" w:eastAsia="宋体" w:hAnsi="宋体" w:cs="宋体" w:hint="eastAsia"/>
        </w:rPr>
        <w:t>。临床试验检查药代动力学（</w:t>
      </w:r>
      <w:r w:rsidR="00992950" w:rsidRPr="00992950">
        <w:t>PK</w:t>
      </w:r>
      <w:r w:rsidR="00992950" w:rsidRPr="00992950">
        <w:rPr>
          <w:rFonts w:ascii="宋体" w:eastAsia="宋体" w:hAnsi="宋体" w:cs="宋体" w:hint="eastAsia"/>
        </w:rPr>
        <w:t>）并提供</w:t>
      </w:r>
      <w:proofErr w:type="gramStart"/>
      <w:r w:rsidR="00992950" w:rsidRPr="00992950">
        <w:rPr>
          <w:rFonts w:ascii="宋体" w:eastAsia="宋体" w:hAnsi="宋体" w:cs="宋体" w:hint="eastAsia"/>
        </w:rPr>
        <w:t>暴露值</w:t>
      </w:r>
      <w:proofErr w:type="gramEnd"/>
      <w:r w:rsidR="00992950" w:rsidRPr="00992950">
        <w:t>[</w:t>
      </w:r>
      <w:r w:rsidR="00992950" w:rsidRPr="00992950">
        <w:rPr>
          <w:rFonts w:ascii="宋体" w:eastAsia="宋体" w:hAnsi="宋体" w:cs="宋体" w:hint="eastAsia"/>
        </w:rPr>
        <w:t>例如，曲线下面积（</w:t>
      </w:r>
      <w:r w:rsidR="00992950" w:rsidRPr="00992950">
        <w:t>AUC</w:t>
      </w:r>
      <w:r w:rsidR="00992950" w:rsidRPr="00992950">
        <w:rPr>
          <w:rFonts w:ascii="宋体" w:eastAsia="宋体" w:hAnsi="宋体" w:cs="宋体" w:hint="eastAsia"/>
        </w:rPr>
        <w:t>）</w:t>
      </w:r>
      <w:r w:rsidR="00992950" w:rsidRPr="00992950">
        <w:t>/</w:t>
      </w:r>
      <w:r w:rsidR="00992950" w:rsidRPr="00992950">
        <w:rPr>
          <w:rFonts w:ascii="宋体" w:eastAsia="宋体" w:hAnsi="宋体" w:cs="宋体" w:hint="eastAsia"/>
        </w:rPr>
        <w:t>最大血药浓度（</w:t>
      </w:r>
      <w:proofErr w:type="spellStart"/>
      <w:r w:rsidR="00992950" w:rsidRPr="00992950">
        <w:t>Cmax</w:t>
      </w:r>
      <w:proofErr w:type="spellEnd"/>
      <w:r w:rsidR="00992950" w:rsidRPr="00992950">
        <w:rPr>
          <w:rFonts w:ascii="宋体" w:eastAsia="宋体" w:hAnsi="宋体" w:cs="宋体" w:hint="eastAsia"/>
        </w:rPr>
        <w:t>）</w:t>
      </w:r>
      <w:r w:rsidR="00992950" w:rsidRPr="00992950">
        <w:t>]</w:t>
      </w:r>
      <w:r w:rsidR="00992950" w:rsidRPr="00992950">
        <w:rPr>
          <w:rFonts w:ascii="宋体" w:eastAsia="宋体" w:hAnsi="宋体" w:cs="宋体" w:hint="eastAsia"/>
        </w:rPr>
        <w:t>。然后可以定义并使用临床</w:t>
      </w:r>
      <w:r w:rsidR="00992950" w:rsidRPr="00992950">
        <w:t>PK</w:t>
      </w:r>
      <w:r w:rsidR="00992950" w:rsidRPr="00992950">
        <w:rPr>
          <w:rFonts w:ascii="宋体" w:eastAsia="宋体" w:hAnsi="宋体" w:cs="宋体" w:hint="eastAsia"/>
        </w:rPr>
        <w:t>暴露结果周围的变异性（</w:t>
      </w:r>
      <w:r w:rsidR="00992950" w:rsidRPr="00992950">
        <w:t>AUC</w:t>
      </w:r>
      <w:r w:rsidR="00992950" w:rsidRPr="00992950">
        <w:rPr>
          <w:rFonts w:ascii="宋体" w:eastAsia="宋体" w:hAnsi="宋体" w:cs="宋体" w:hint="eastAsia"/>
        </w:rPr>
        <w:t>或</w:t>
      </w:r>
      <w:proofErr w:type="spellStart"/>
      <w:r w:rsidR="00992950" w:rsidRPr="00992950">
        <w:t>Cmax</w:t>
      </w:r>
      <w:proofErr w:type="spellEnd"/>
      <w:r w:rsidR="00992950" w:rsidRPr="00992950">
        <w:rPr>
          <w:rFonts w:ascii="宋体" w:eastAsia="宋体" w:hAnsi="宋体" w:cs="宋体" w:hint="eastAsia"/>
        </w:rPr>
        <w:t>），取决于两个暴露参数中哪一个用作</w:t>
      </w:r>
      <w:proofErr w:type="spellStart"/>
      <w:r w:rsidR="00992950" w:rsidRPr="00992950">
        <w:t>PoD</w:t>
      </w:r>
      <w:proofErr w:type="spellEnd"/>
      <w:r w:rsidR="00992950" w:rsidRPr="00992950">
        <w:rPr>
          <w:rFonts w:ascii="宋体" w:eastAsia="宋体" w:hAnsi="宋体" w:cs="宋体" w:hint="eastAsia"/>
        </w:rPr>
        <w:t>的决定因素，并代替</w:t>
      </w:r>
      <w:r w:rsidR="00992950" w:rsidRPr="00992950">
        <w:t>PK</w:t>
      </w:r>
      <w:r w:rsidR="00992950" w:rsidRPr="00992950">
        <w:rPr>
          <w:rFonts w:ascii="宋体" w:eastAsia="宋体" w:hAnsi="宋体" w:cs="宋体" w:hint="eastAsia"/>
        </w:rPr>
        <w:t>的默认因子。</w:t>
      </w:r>
      <w:r w:rsidR="00992950" w:rsidRPr="00992950">
        <w:t xml:space="preserve"> AUC / </w:t>
      </w:r>
      <w:proofErr w:type="spellStart"/>
      <w:r w:rsidR="00992950" w:rsidRPr="00992950">
        <w:t>Cmax</w:t>
      </w:r>
      <w:proofErr w:type="spellEnd"/>
      <w:r w:rsidR="00992950" w:rsidRPr="00992950">
        <w:rPr>
          <w:rFonts w:ascii="宋体" w:eastAsia="宋体" w:hAnsi="宋体" w:cs="宋体" w:hint="eastAsia"/>
        </w:rPr>
        <w:t>的</w:t>
      </w:r>
      <w:r w:rsidR="00992950" w:rsidRPr="00992950">
        <w:t>95</w:t>
      </w:r>
      <w:r w:rsidR="00992950" w:rsidRPr="00992950">
        <w:rPr>
          <w:rFonts w:ascii="宋体" w:eastAsia="宋体" w:hAnsi="宋体" w:cs="宋体" w:hint="eastAsia"/>
        </w:rPr>
        <w:t>％置信上限（或两个标准差）与平均</w:t>
      </w:r>
      <w:r w:rsidR="00992950" w:rsidRPr="00992950">
        <w:t xml:space="preserve">AUC / </w:t>
      </w:r>
      <w:proofErr w:type="spellStart"/>
      <w:r w:rsidR="00992950" w:rsidRPr="00992950">
        <w:t>Cmax</w:t>
      </w:r>
      <w:proofErr w:type="spellEnd"/>
      <w:r w:rsidR="00992950" w:rsidRPr="00992950">
        <w:rPr>
          <w:rFonts w:ascii="宋体" w:eastAsia="宋体" w:hAnsi="宋体" w:cs="宋体" w:hint="eastAsia"/>
        </w:rPr>
        <w:t>的比率已用于</w:t>
      </w:r>
      <w:r w:rsidR="00992950" w:rsidRPr="00992950">
        <w:t>CSAF</w:t>
      </w:r>
      <w:r w:rsidR="00992950" w:rsidRPr="00992950">
        <w:rPr>
          <w:rFonts w:ascii="宋体" w:eastAsia="宋体" w:hAnsi="宋体" w:cs="宋体" w:hint="eastAsia"/>
        </w:rPr>
        <w:t>的动力学部分（</w:t>
      </w:r>
      <w:r w:rsidR="00992950" w:rsidRPr="00992950">
        <w:t>64</w:t>
      </w:r>
      <w:r w:rsidR="00992950" w:rsidRPr="00992950">
        <w:rPr>
          <w:rFonts w:ascii="宋体" w:eastAsia="宋体" w:hAnsi="宋体" w:cs="宋体" w:hint="eastAsia"/>
        </w:rPr>
        <w:t>、</w:t>
      </w:r>
      <w:r w:rsidR="00992950" w:rsidRPr="00992950">
        <w:t>89</w:t>
      </w:r>
      <w:r w:rsidR="00992950" w:rsidRPr="00992950">
        <w:rPr>
          <w:rFonts w:ascii="宋体" w:eastAsia="宋体" w:hAnsi="宋体" w:cs="宋体" w:hint="eastAsia"/>
        </w:rPr>
        <w:t>）。可以</w:t>
      </w:r>
      <w:r w:rsidR="00992950" w:rsidRPr="00992950">
        <w:rPr>
          <w:rFonts w:ascii="宋体" w:eastAsia="宋体" w:hAnsi="宋体" w:cs="宋体" w:hint="eastAsia"/>
        </w:rPr>
        <w:lastRenderedPageBreak/>
        <w:t>从具有多个剂量值的多个研究中计算出</w:t>
      </w:r>
      <w:r w:rsidR="00992950" w:rsidRPr="00992950">
        <w:t>CSAF</w:t>
      </w:r>
      <w:r w:rsidR="00992950" w:rsidRPr="00992950">
        <w:rPr>
          <w:rFonts w:ascii="宋体" w:eastAsia="宋体" w:hAnsi="宋体" w:cs="宋体" w:hint="eastAsia"/>
        </w:rPr>
        <w:t>，并且可以使用平均值。选择要包括在这些计算中的研究时，需要使用专业判断（样本量，剂量，剂量）。请注意，蛋白治疗剂（例如，非线性</w:t>
      </w:r>
      <w:r w:rsidR="00992950" w:rsidRPr="00992950">
        <w:t>PK</w:t>
      </w:r>
      <w:r w:rsidR="00992950" w:rsidRPr="00992950">
        <w:rPr>
          <w:rFonts w:ascii="宋体" w:eastAsia="宋体" w:hAnsi="宋体" w:cs="宋体" w:hint="eastAsia"/>
        </w:rPr>
        <w:t>）的</w:t>
      </w:r>
      <w:r w:rsidR="00992950" w:rsidRPr="00992950">
        <w:t>PK</w:t>
      </w:r>
      <w:r w:rsidR="00992950" w:rsidRPr="00992950">
        <w:rPr>
          <w:rFonts w:ascii="宋体" w:eastAsia="宋体" w:hAnsi="宋体" w:cs="宋体" w:hint="eastAsia"/>
        </w:rPr>
        <w:t>和</w:t>
      </w:r>
      <w:r w:rsidR="00992950" w:rsidRPr="00992950">
        <w:t>PD</w:t>
      </w:r>
      <w:r w:rsidR="00992950" w:rsidRPr="00992950">
        <w:rPr>
          <w:rFonts w:ascii="宋体" w:eastAsia="宋体" w:hAnsi="宋体" w:cs="宋体" w:hint="eastAsia"/>
        </w:rPr>
        <w:t>会随剂量而变化（</w:t>
      </w:r>
      <w:r w:rsidR="00992950" w:rsidRPr="00992950">
        <w:t>96-</w:t>
      </w:r>
      <w:r w:rsidR="00992950" w:rsidRPr="00544D6C">
        <w:t>99</w:t>
      </w:r>
      <w:r w:rsidR="00992950" w:rsidRPr="00544D6C">
        <w:rPr>
          <w:rFonts w:ascii="宋体" w:eastAsia="宋体" w:hAnsi="宋体" w:cs="宋体" w:hint="eastAsia"/>
        </w:rPr>
        <w:t>）。最后，有时会开发复杂的</w:t>
      </w:r>
      <w:r w:rsidR="00992950" w:rsidRPr="00544D6C">
        <w:t>PK</w:t>
      </w:r>
      <w:r w:rsidR="00992950" w:rsidRPr="00544D6C">
        <w:rPr>
          <w:rFonts w:ascii="宋体" w:eastAsia="宋体" w:hAnsi="宋体" w:cs="宋体" w:hint="eastAsia"/>
        </w:rPr>
        <w:t>或</w:t>
      </w:r>
      <w:r w:rsidR="00992950" w:rsidRPr="00544D6C">
        <w:t>PK-PD</w:t>
      </w:r>
      <w:r w:rsidR="00992950" w:rsidRPr="00544D6C">
        <w:rPr>
          <w:rFonts w:ascii="宋体" w:eastAsia="宋体" w:hAnsi="宋体" w:cs="宋体" w:hint="eastAsia"/>
        </w:rPr>
        <w:t>人群模型，这些模型可以为药物提供更精确的</w:t>
      </w:r>
      <w:r w:rsidR="00992950" w:rsidRPr="00544D6C">
        <w:t>CSAF</w:t>
      </w:r>
      <w:r w:rsidR="00992950" w:rsidRPr="00544D6C">
        <w:rPr>
          <w:rFonts w:ascii="宋体" w:eastAsia="宋体" w:hAnsi="宋体" w:cs="宋体" w:hint="eastAsia"/>
        </w:rPr>
        <w:t>值</w:t>
      </w:r>
      <w:r w:rsidRPr="00544D6C">
        <w:rPr>
          <w:b/>
        </w:rPr>
        <w:t>(</w:t>
      </w:r>
      <w:r w:rsidRPr="00544D6C">
        <w:rPr>
          <w:b/>
          <w:color w:val="C1151A"/>
        </w:rPr>
        <w:t>100-103</w:t>
      </w:r>
      <w:r w:rsidRPr="00544D6C">
        <w:rPr>
          <w:b/>
        </w:rPr>
        <w:t>)</w:t>
      </w:r>
      <w:r w:rsidRPr="00544D6C">
        <w:t>.</w:t>
      </w:r>
    </w:p>
    <w:p w14:paraId="59DD1F3D" w14:textId="10929D2A" w:rsidR="0026097E" w:rsidRPr="00544D6C" w:rsidRDefault="00284695">
      <w:pPr>
        <w:spacing w:after="20" w:line="248" w:lineRule="auto"/>
        <w:ind w:left="185" w:hanging="10"/>
      </w:pPr>
      <w:r w:rsidRPr="00544D6C">
        <w:t>5.9.2.2</w:t>
      </w:r>
      <w:r w:rsidR="00992950" w:rsidRPr="00544D6C">
        <w:rPr>
          <w:rFonts w:ascii="宋体" w:eastAsia="宋体" w:hAnsi="宋体" w:cs="宋体" w:hint="eastAsia"/>
        </w:rPr>
        <w:t>敏感亚群</w:t>
      </w:r>
      <w:r w:rsidRPr="00544D6C">
        <w:t>:</w:t>
      </w:r>
    </w:p>
    <w:p w14:paraId="408FFB49" w14:textId="77777777" w:rsidR="00992950" w:rsidRPr="00544D6C" w:rsidRDefault="00992950" w:rsidP="00992950">
      <w:pPr>
        <w:numPr>
          <w:ilvl w:val="0"/>
          <w:numId w:val="8"/>
        </w:numPr>
        <w:spacing w:after="61"/>
      </w:pPr>
      <w:r w:rsidRPr="00544D6C">
        <w:t>HBEL</w:t>
      </w:r>
      <w:r w:rsidRPr="00544D6C">
        <w:rPr>
          <w:rFonts w:ascii="宋体" w:eastAsia="宋体" w:hAnsi="宋体" w:cs="宋体" w:hint="eastAsia"/>
        </w:rPr>
        <w:t>对敏感的亚群具有保护作用。敏感亚人群的例子包括服用某些药物（互动伴随药物暴露）的个体；肝肾功能不全患者的暴露差异；以及与种族，性别或年龄相关的暴露和影响的潜在差异。例如，如果</w:t>
      </w:r>
    </w:p>
    <w:p w14:paraId="6EA8075E" w14:textId="77777777" w:rsidR="00992950" w:rsidRPr="00544D6C" w:rsidRDefault="00992950" w:rsidP="00992950">
      <w:pPr>
        <w:numPr>
          <w:ilvl w:val="0"/>
          <w:numId w:val="8"/>
        </w:numPr>
        <w:spacing w:after="61"/>
      </w:pPr>
      <w:r w:rsidRPr="00544D6C">
        <w:rPr>
          <w:rFonts w:ascii="宋体" w:eastAsia="宋体" w:hAnsi="宋体" w:cs="宋体" w:hint="eastAsia"/>
        </w:rPr>
        <w:t>人口分布是双峰的，敏感亚群的</w:t>
      </w:r>
      <w:r w:rsidRPr="00544D6C">
        <w:t xml:space="preserve">AUC / </w:t>
      </w:r>
      <w:proofErr w:type="spellStart"/>
      <w:r w:rsidRPr="00544D6C">
        <w:t>Cmax</w:t>
      </w:r>
      <w:proofErr w:type="spellEnd"/>
      <w:r w:rsidRPr="00544D6C">
        <w:rPr>
          <w:rFonts w:ascii="宋体" w:eastAsia="宋体" w:hAnsi="宋体" w:cs="宋体" w:hint="eastAsia"/>
        </w:rPr>
        <w:t>的</w:t>
      </w:r>
      <w:r w:rsidRPr="00544D6C">
        <w:t>95</w:t>
      </w:r>
      <w:r w:rsidRPr="00544D6C">
        <w:rPr>
          <w:rFonts w:ascii="宋体" w:eastAsia="宋体" w:hAnsi="宋体" w:cs="宋体" w:hint="eastAsia"/>
        </w:rPr>
        <w:t>％置信上限（均值</w:t>
      </w:r>
      <w:r w:rsidRPr="00544D6C">
        <w:t>+</w:t>
      </w:r>
      <w:r w:rsidRPr="00544D6C">
        <w:rPr>
          <w:rFonts w:ascii="宋体" w:eastAsia="宋体" w:hAnsi="宋体" w:cs="宋体" w:hint="eastAsia"/>
        </w:rPr>
        <w:t>两个标准差）与平均</w:t>
      </w:r>
      <w:r w:rsidRPr="00544D6C">
        <w:t xml:space="preserve">AUC / </w:t>
      </w:r>
      <w:proofErr w:type="spellStart"/>
      <w:r w:rsidRPr="00544D6C">
        <w:t>Cmax</w:t>
      </w:r>
      <w:proofErr w:type="spellEnd"/>
      <w:r w:rsidRPr="00544D6C">
        <w:rPr>
          <w:rFonts w:ascii="宋体" w:eastAsia="宋体" w:hAnsi="宋体" w:cs="宋体" w:hint="eastAsia"/>
        </w:rPr>
        <w:t>的比率已用作</w:t>
      </w:r>
      <w:r w:rsidRPr="00544D6C">
        <w:t>CSAF</w:t>
      </w:r>
      <w:r w:rsidRPr="00544D6C">
        <w:rPr>
          <w:rFonts w:ascii="宋体" w:eastAsia="宋体" w:hAnsi="宋体" w:cs="宋体" w:hint="eastAsia"/>
        </w:rPr>
        <w:t>的动力学子因子（</w:t>
      </w:r>
      <w:r w:rsidRPr="00544D6C">
        <w:t>64</w:t>
      </w:r>
      <w:r w:rsidRPr="00544D6C">
        <w:rPr>
          <w:rFonts w:ascii="宋体" w:eastAsia="宋体" w:hAnsi="宋体" w:cs="宋体" w:hint="eastAsia"/>
        </w:rPr>
        <w:t>，</w:t>
      </w:r>
      <w:r w:rsidRPr="00544D6C">
        <w:t xml:space="preserve">104 </w:t>
      </w:r>
      <w:r w:rsidRPr="00544D6C">
        <w:rPr>
          <w:rFonts w:ascii="宋体" w:eastAsia="宋体" w:hAnsi="宋体" w:cs="宋体" w:hint="eastAsia"/>
        </w:rPr>
        <w:t>）。</w:t>
      </w:r>
    </w:p>
    <w:p w14:paraId="3F2F97E9" w14:textId="68848EF5" w:rsidR="00992950" w:rsidRPr="00544D6C" w:rsidRDefault="00992950" w:rsidP="00992950">
      <w:pPr>
        <w:numPr>
          <w:ilvl w:val="0"/>
          <w:numId w:val="8"/>
        </w:numPr>
        <w:spacing w:after="61"/>
      </w:pPr>
      <w:r w:rsidRPr="00544D6C">
        <w:rPr>
          <w:rFonts w:ascii="宋体" w:eastAsia="宋体" w:hAnsi="宋体" w:cs="宋体" w:hint="eastAsia"/>
        </w:rPr>
        <w:t>应针对可能包括儿童在内的敏感亚人群开发</w:t>
      </w:r>
      <w:r w:rsidRPr="00544D6C">
        <w:t>HBEL</w:t>
      </w:r>
      <w:r w:rsidRPr="00544D6C">
        <w:rPr>
          <w:rFonts w:ascii="宋体" w:eastAsia="宋体" w:hAnsi="宋体" w:cs="宋体" w:hint="eastAsia"/>
        </w:rPr>
        <w:t>。但是，</w:t>
      </w:r>
      <w:r w:rsidRPr="00544D6C">
        <w:t>HBEL</w:t>
      </w:r>
      <w:r w:rsidRPr="00544D6C">
        <w:rPr>
          <w:rFonts w:ascii="宋体" w:eastAsia="宋体" w:hAnsi="宋体" w:cs="宋体" w:hint="eastAsia"/>
        </w:rPr>
        <w:t>也适用于</w:t>
      </w:r>
      <w:r w:rsidRPr="00544D6C">
        <w:t>50</w:t>
      </w:r>
      <w:r w:rsidRPr="00544D6C">
        <w:rPr>
          <w:rFonts w:ascii="宋体" w:eastAsia="宋体" w:hAnsi="宋体" w:cs="宋体" w:hint="eastAsia"/>
        </w:rPr>
        <w:t>公斤的成年人，这对于儿童来说不合适。在大多数情况下，为体重极低的新生儿开发</w:t>
      </w:r>
      <w:r w:rsidRPr="00544D6C">
        <w:t>HBEL</w:t>
      </w:r>
      <w:r w:rsidRPr="00544D6C">
        <w:rPr>
          <w:rFonts w:ascii="宋体" w:eastAsia="宋体" w:hAnsi="宋体" w:cs="宋体" w:hint="eastAsia"/>
        </w:rPr>
        <w:t>是不切实际且不必要的。因此，建议在已知向儿科人群使用以下产品的情况下，将该调整作为后续产品</w:t>
      </w:r>
      <w:r w:rsidRPr="00544D6C">
        <w:t>HBEL</w:t>
      </w:r>
      <w:r w:rsidRPr="00544D6C">
        <w:rPr>
          <w:rFonts w:ascii="宋体" w:eastAsia="宋体" w:hAnsi="宋体" w:cs="宋体" w:hint="eastAsia"/>
        </w:rPr>
        <w:t>的一部分进行。</w:t>
      </w:r>
    </w:p>
    <w:p w14:paraId="5EE16C61" w14:textId="5F4D23D5" w:rsidR="0026097E" w:rsidRPr="00544D6C" w:rsidRDefault="00992950" w:rsidP="00992950">
      <w:pPr>
        <w:numPr>
          <w:ilvl w:val="0"/>
          <w:numId w:val="8"/>
        </w:numPr>
        <w:spacing w:after="61"/>
        <w:ind w:firstLine="309"/>
      </w:pPr>
      <w:r w:rsidRPr="00544D6C">
        <w:rPr>
          <w:rFonts w:ascii="宋体" w:eastAsia="宋体" w:hAnsi="宋体" w:cs="宋体" w:hint="eastAsia"/>
        </w:rPr>
        <w:t>如果没有足够的敏感亚人群数据，则应解决这种不确定性。计算敏感亚群的</w:t>
      </w:r>
      <w:r w:rsidRPr="00544D6C">
        <w:t>CSAF</w:t>
      </w:r>
      <w:r w:rsidRPr="00544D6C">
        <w:rPr>
          <w:rFonts w:ascii="宋体" w:eastAsia="宋体" w:hAnsi="宋体" w:cs="宋体" w:hint="eastAsia"/>
        </w:rPr>
        <w:t>时应考虑</w:t>
      </w:r>
      <w:r w:rsidRPr="00544D6C">
        <w:t>PK</w:t>
      </w:r>
      <w:r w:rsidRPr="00544D6C">
        <w:rPr>
          <w:rFonts w:ascii="宋体" w:eastAsia="宋体" w:hAnsi="宋体" w:cs="宋体" w:hint="eastAsia"/>
        </w:rPr>
        <w:t>数据的单峰分布或生物峰分布是否最适合一般人群和敏感亚群</w:t>
      </w:r>
      <w:r w:rsidR="00284695" w:rsidRPr="00544D6C">
        <w:t>.</w:t>
      </w:r>
    </w:p>
    <w:p w14:paraId="0907A154" w14:textId="55338E74" w:rsidR="0026097E" w:rsidRPr="00544D6C" w:rsidRDefault="00284695">
      <w:pPr>
        <w:spacing w:after="48" w:line="248" w:lineRule="auto"/>
        <w:ind w:firstLine="190"/>
      </w:pPr>
      <w:r w:rsidRPr="00544D6C">
        <w:t xml:space="preserve">5.9.3 </w:t>
      </w:r>
      <w:r w:rsidR="00992950" w:rsidRPr="00544D6C">
        <w:rPr>
          <w:rFonts w:ascii="宋体" w:eastAsia="宋体" w:hAnsi="宋体" w:cs="宋体" w:hint="eastAsia"/>
        </w:rPr>
        <w:t>曝光时间</w:t>
      </w:r>
      <w:r w:rsidR="00992950" w:rsidRPr="00544D6C">
        <w:t>AF</w:t>
      </w:r>
      <w:r w:rsidR="00992950" w:rsidRPr="00544D6C">
        <w:rPr>
          <w:rFonts w:ascii="宋体" w:eastAsia="宋体" w:hAnsi="宋体" w:cs="宋体" w:hint="eastAsia"/>
        </w:rPr>
        <w:t>，亚慢性至慢性</w:t>
      </w:r>
      <w:r w:rsidRPr="00544D6C">
        <w:t xml:space="preserve"> (F3, UF</w:t>
      </w:r>
      <w:r w:rsidRPr="00544D6C">
        <w:rPr>
          <w:vertAlign w:val="subscript"/>
        </w:rPr>
        <w:t>S</w:t>
      </w:r>
      <w:r w:rsidRPr="00544D6C">
        <w:t>):</w:t>
      </w:r>
    </w:p>
    <w:p w14:paraId="0966C8C0" w14:textId="77777777" w:rsidR="00992950" w:rsidRPr="00544D6C" w:rsidRDefault="00284695" w:rsidP="00992950">
      <w:pPr>
        <w:ind w:left="-15"/>
      </w:pPr>
      <w:r w:rsidRPr="00544D6C">
        <w:t xml:space="preserve">5.9.3.1 </w:t>
      </w:r>
      <w:r w:rsidR="00992950" w:rsidRPr="00544D6C">
        <w:rPr>
          <w:rFonts w:ascii="宋体" w:eastAsia="宋体" w:hAnsi="宋体" w:cs="宋体" w:hint="eastAsia"/>
        </w:rPr>
        <w:t>亚慢性到慢性</w:t>
      </w:r>
      <w:r w:rsidR="00992950" w:rsidRPr="00544D6C">
        <w:t>AF</w:t>
      </w:r>
      <w:r w:rsidR="00992950" w:rsidRPr="00544D6C">
        <w:rPr>
          <w:rFonts w:ascii="宋体" w:eastAsia="宋体" w:hAnsi="宋体" w:cs="宋体" w:hint="eastAsia"/>
        </w:rPr>
        <w:t>（</w:t>
      </w:r>
      <w:r w:rsidR="00992950" w:rsidRPr="00544D6C">
        <w:t>F3</w:t>
      </w:r>
      <w:r w:rsidR="00992950" w:rsidRPr="00544D6C">
        <w:rPr>
          <w:rFonts w:ascii="宋体" w:eastAsia="宋体" w:hAnsi="宋体" w:cs="宋体" w:hint="eastAsia"/>
        </w:rPr>
        <w:t>）解决了随着暴露持续时间增加（例如，从短持续时间到慢性持续时间），在较低剂量下可能发生不良影响的可能性。它还假设某些影响只能在较长的暴露时间才能看到（也就是说，某些影响可能不会在较短的持续时间研究中体现出来）。正在考虑的不确定性是，如果进行了较长时间的研究，是否可能存在较低的无效水平（在较低剂量下具有相同的临界效应，或者在较长时间的暴露后才观察到的另一临界效应）。</w:t>
      </w:r>
      <w:proofErr w:type="gramStart"/>
      <w:r w:rsidR="00992950" w:rsidRPr="00544D6C">
        <w:rPr>
          <w:rFonts w:ascii="宋体" w:eastAsia="宋体" w:hAnsi="宋体" w:cs="宋体" w:hint="eastAsia"/>
        </w:rPr>
        <w:t>当应使用</w:t>
      </w:r>
      <w:proofErr w:type="gramEnd"/>
      <w:r w:rsidR="00992950" w:rsidRPr="00544D6C">
        <w:rPr>
          <w:rFonts w:ascii="宋体" w:eastAsia="宋体" w:hAnsi="宋体" w:cs="宋体" w:hint="eastAsia"/>
        </w:rPr>
        <w:t>亚慢性研究建立</w:t>
      </w:r>
      <w:r w:rsidR="00992950" w:rsidRPr="00544D6C">
        <w:t>HBEL</w:t>
      </w:r>
      <w:r w:rsidR="00992950" w:rsidRPr="00544D6C">
        <w:rPr>
          <w:rFonts w:ascii="宋体" w:eastAsia="宋体" w:hAnsi="宋体" w:cs="宋体" w:hint="eastAsia"/>
        </w:rPr>
        <w:t>并假设将来会长期暴露于该化合物时，可以将额外的</w:t>
      </w:r>
      <w:r w:rsidR="00992950" w:rsidRPr="00544D6C">
        <w:t>AF</w:t>
      </w:r>
      <w:r w:rsidR="00992950" w:rsidRPr="00544D6C">
        <w:rPr>
          <w:rFonts w:ascii="宋体" w:eastAsia="宋体" w:hAnsi="宋体" w:cs="宋体" w:hint="eastAsia"/>
        </w:rPr>
        <w:t>应用于</w:t>
      </w:r>
      <w:r w:rsidR="00992950" w:rsidRPr="00544D6C">
        <w:t>NOAEL</w:t>
      </w:r>
      <w:r w:rsidR="00992950" w:rsidRPr="00544D6C">
        <w:rPr>
          <w:rFonts w:ascii="宋体" w:eastAsia="宋体" w:hAnsi="宋体" w:cs="宋体" w:hint="eastAsia"/>
        </w:rPr>
        <w:t>亚慢性以预测</w:t>
      </w:r>
      <w:r w:rsidR="00992950" w:rsidRPr="00544D6C">
        <w:t>NOAEL</w:t>
      </w:r>
      <w:r w:rsidR="00992950" w:rsidRPr="00544D6C">
        <w:rPr>
          <w:rFonts w:ascii="宋体" w:eastAsia="宋体" w:hAnsi="宋体" w:cs="宋体" w:hint="eastAsia"/>
        </w:rPr>
        <w:t>亚慢性。</w:t>
      </w:r>
    </w:p>
    <w:p w14:paraId="4D1E43C8" w14:textId="77777777" w:rsidR="00544D6C" w:rsidRDefault="00992950" w:rsidP="00992950">
      <w:pPr>
        <w:ind w:left="-15"/>
        <w:rPr>
          <w:rFonts w:ascii="宋体" w:eastAsia="宋体" w:hAnsi="宋体" w:cs="宋体"/>
        </w:rPr>
      </w:pPr>
      <w:r w:rsidRPr="008451D1">
        <w:t>5.9.3.2</w:t>
      </w:r>
      <w:r w:rsidRPr="008451D1">
        <w:rPr>
          <w:rFonts w:ascii="宋体" w:eastAsia="宋体" w:hAnsi="宋体" w:cs="宋体" w:hint="eastAsia"/>
        </w:rPr>
        <w:t>如果</w:t>
      </w:r>
      <w:proofErr w:type="spellStart"/>
      <w:r w:rsidRPr="008451D1">
        <w:t>PoD</w:t>
      </w:r>
      <w:proofErr w:type="spellEnd"/>
      <w:r w:rsidRPr="008451D1">
        <w:rPr>
          <w:rFonts w:ascii="宋体" w:eastAsia="宋体" w:hAnsi="宋体" w:cs="宋体" w:hint="eastAsia"/>
        </w:rPr>
        <w:t>来自人类的研究，则</w:t>
      </w:r>
      <w:r w:rsidRPr="008451D1">
        <w:t>F3</w:t>
      </w:r>
      <w:r w:rsidRPr="008451D1">
        <w:rPr>
          <w:rFonts w:ascii="宋体" w:eastAsia="宋体" w:hAnsi="宋体" w:cs="宋体" w:hint="eastAsia"/>
        </w:rPr>
        <w:t>因子取决于临床试验</w:t>
      </w:r>
      <w:r w:rsidRPr="008451D1">
        <w:t>/</w:t>
      </w:r>
      <w:r w:rsidRPr="008451D1">
        <w:rPr>
          <w:rFonts w:ascii="宋体" w:eastAsia="宋体" w:hAnsi="宋体" w:cs="宋体" w:hint="eastAsia"/>
        </w:rPr>
        <w:t>经验的持续时间。如果药物随时间累积并观察到影响的类型（例如，急性影响与慢性影响），则这一点尤其重要。对动物进行长期给药的经验也可以帮助预测在更长的暴露条件下对人类的潜在影响。如果已经应用了药物累积因子（</w:t>
      </w:r>
      <w:r w:rsidRPr="008451D1">
        <w:t>PK-AF</w:t>
      </w:r>
      <w:r w:rsidRPr="008451D1">
        <w:rPr>
          <w:rFonts w:ascii="宋体" w:eastAsia="宋体" w:hAnsi="宋体" w:cs="宋体" w:hint="eastAsia"/>
        </w:rPr>
        <w:t>），则在推导</w:t>
      </w:r>
      <w:r w:rsidRPr="008451D1">
        <w:t>F3</w:t>
      </w:r>
      <w:r w:rsidRPr="008451D1">
        <w:rPr>
          <w:rFonts w:ascii="宋体" w:eastAsia="宋体" w:hAnsi="宋体" w:cs="宋体" w:hint="eastAsia"/>
        </w:rPr>
        <w:t>因子时应考虑这一点，以避免使用多个</w:t>
      </w:r>
      <w:r w:rsidRPr="008451D1">
        <w:t>AF</w:t>
      </w:r>
      <w:r w:rsidRPr="008451D1">
        <w:rPr>
          <w:rFonts w:ascii="宋体" w:eastAsia="宋体" w:hAnsi="宋体" w:cs="宋体" w:hint="eastAsia"/>
        </w:rPr>
        <w:t>来说明相同的作用。</w:t>
      </w:r>
      <w:r w:rsidRPr="00AC4723">
        <w:rPr>
          <w:rFonts w:ascii="宋体" w:eastAsia="宋体" w:hAnsi="宋体" w:cs="宋体" w:hint="eastAsia"/>
          <w:highlight w:val="yellow"/>
        </w:rPr>
        <w:t>对于长期服用指示为慢性适应症的药物，通常不需要针对临床剂量（</w:t>
      </w:r>
      <w:proofErr w:type="spellStart"/>
      <w:r w:rsidRPr="00AC4723">
        <w:rPr>
          <w:highlight w:val="yellow"/>
        </w:rPr>
        <w:t>PoD</w:t>
      </w:r>
      <w:proofErr w:type="spellEnd"/>
      <w:r w:rsidRPr="00AC4723">
        <w:rPr>
          <w:rFonts w:ascii="宋体" w:eastAsia="宋体" w:hAnsi="宋体" w:cs="宋体" w:hint="eastAsia"/>
          <w:highlight w:val="yellow"/>
        </w:rPr>
        <w:t>）进行</w:t>
      </w:r>
      <w:r w:rsidRPr="00AC4723">
        <w:rPr>
          <w:highlight w:val="yellow"/>
        </w:rPr>
        <w:t>F3</w:t>
      </w:r>
      <w:r w:rsidRPr="00AC4723">
        <w:rPr>
          <w:rFonts w:ascii="宋体" w:eastAsia="宋体" w:hAnsi="宋体" w:cs="宋体" w:hint="eastAsia"/>
          <w:highlight w:val="yellow"/>
        </w:rPr>
        <w:t>调整。</w:t>
      </w:r>
    </w:p>
    <w:p w14:paraId="4730336F" w14:textId="46768D79" w:rsidR="00992950" w:rsidRPr="008451D1" w:rsidRDefault="00992950" w:rsidP="00992950">
      <w:pPr>
        <w:ind w:left="-15"/>
      </w:pPr>
      <w:r w:rsidRPr="008451D1">
        <w:t xml:space="preserve"> 5.9.3.3</w:t>
      </w:r>
      <w:r w:rsidRPr="008451D1">
        <w:rPr>
          <w:rFonts w:ascii="宋体" w:eastAsia="宋体" w:hAnsi="宋体" w:cs="宋体" w:hint="eastAsia"/>
        </w:rPr>
        <w:t>如果随着研究时间的延长，在亚慢性研究中预期没有比</w:t>
      </w:r>
      <w:r w:rsidRPr="008451D1">
        <w:t>NOAEL</w:t>
      </w:r>
      <w:r w:rsidRPr="008451D1">
        <w:rPr>
          <w:rFonts w:ascii="宋体" w:eastAsia="宋体" w:hAnsi="宋体" w:cs="宋体" w:hint="eastAsia"/>
        </w:rPr>
        <w:t>更低的剂量会产生影响，则可能不必使用该因子。评估较低</w:t>
      </w:r>
      <w:proofErr w:type="spellStart"/>
      <w:r w:rsidRPr="008451D1">
        <w:t>PoD</w:t>
      </w:r>
      <w:proofErr w:type="spellEnd"/>
      <w:proofErr w:type="gramStart"/>
      <w:r w:rsidRPr="008451D1">
        <w:rPr>
          <w:rFonts w:ascii="宋体" w:eastAsia="宋体" w:hAnsi="宋体" w:cs="宋体" w:hint="eastAsia"/>
        </w:rPr>
        <w:t>随治疗</w:t>
      </w:r>
      <w:proofErr w:type="gramEnd"/>
      <w:r w:rsidRPr="008451D1">
        <w:rPr>
          <w:rFonts w:ascii="宋体" w:eastAsia="宋体" w:hAnsi="宋体" w:cs="宋体" w:hint="eastAsia"/>
        </w:rPr>
        <w:t>时间延长是否会出现的一种方法是比较不同持续时间的研究中</w:t>
      </w:r>
      <w:proofErr w:type="spellStart"/>
      <w:r w:rsidRPr="008451D1">
        <w:t>PoD</w:t>
      </w:r>
      <w:proofErr w:type="spellEnd"/>
      <w:r w:rsidRPr="008451D1">
        <w:rPr>
          <w:rFonts w:ascii="宋体" w:eastAsia="宋体" w:hAnsi="宋体" w:cs="宋体" w:hint="eastAsia"/>
        </w:rPr>
        <w:t>的比率，然后检查</w:t>
      </w:r>
      <w:proofErr w:type="spellStart"/>
      <w:r w:rsidRPr="008451D1">
        <w:t>PoD</w:t>
      </w:r>
      <w:proofErr w:type="spellEnd"/>
      <w:r w:rsidRPr="008451D1">
        <w:rPr>
          <w:rFonts w:ascii="宋体" w:eastAsia="宋体" w:hAnsi="宋体" w:cs="宋体" w:hint="eastAsia"/>
        </w:rPr>
        <w:t>是随时间减少还是随着剂量增加而出现新的关键作用。了解目标类别会影响</w:t>
      </w:r>
      <w:r w:rsidRPr="008451D1">
        <w:t>F3</w:t>
      </w:r>
      <w:r w:rsidRPr="008451D1">
        <w:rPr>
          <w:rFonts w:ascii="宋体" w:eastAsia="宋体" w:hAnsi="宋体" w:cs="宋体" w:hint="eastAsia"/>
        </w:rPr>
        <w:t>的选择。如果没有有关为其设置</w:t>
      </w:r>
      <w:r w:rsidRPr="008451D1">
        <w:t>HBEL</w:t>
      </w:r>
      <w:r w:rsidRPr="008451D1">
        <w:rPr>
          <w:rFonts w:ascii="宋体" w:eastAsia="宋体" w:hAnsi="宋体" w:cs="宋体" w:hint="eastAsia"/>
        </w:rPr>
        <w:t>的物质的数据，则来自同一目标类别的数据评估可能会影响所使用的</w:t>
      </w:r>
      <w:r w:rsidRPr="008451D1">
        <w:t>F3</w:t>
      </w:r>
      <w:r w:rsidRPr="008451D1">
        <w:rPr>
          <w:rFonts w:ascii="宋体" w:eastAsia="宋体" w:hAnsi="宋体" w:cs="宋体" w:hint="eastAsia"/>
        </w:rPr>
        <w:t>值。有许多指导性文件讨论了研究持续时间</w:t>
      </w:r>
      <w:r w:rsidRPr="008451D1">
        <w:t>[ICH Q3C</w:t>
      </w:r>
      <w:r w:rsidRPr="008451D1">
        <w:rPr>
          <w:rFonts w:ascii="宋体" w:eastAsia="宋体" w:hAnsi="宋体" w:cs="宋体" w:hint="eastAsia"/>
        </w:rPr>
        <w:t>（</w:t>
      </w:r>
      <w:r w:rsidRPr="008451D1">
        <w:t>R6</w:t>
      </w:r>
      <w:r w:rsidRPr="008451D1">
        <w:rPr>
          <w:rFonts w:ascii="宋体" w:eastAsia="宋体" w:hAnsi="宋体" w:cs="宋体" w:hint="eastAsia"/>
        </w:rPr>
        <w:t>）</w:t>
      </w:r>
      <w:r w:rsidRPr="008451D1">
        <w:t>]</w:t>
      </w:r>
      <w:r w:rsidRPr="008451D1">
        <w:rPr>
          <w:rFonts w:ascii="宋体" w:eastAsia="宋体" w:hAnsi="宋体" w:cs="宋体" w:hint="eastAsia"/>
        </w:rPr>
        <w:t>的适当调整因子的选择（</w:t>
      </w:r>
      <w:r w:rsidRPr="008451D1">
        <w:t>14</w:t>
      </w:r>
      <w:r w:rsidRPr="008451D1">
        <w:rPr>
          <w:rFonts w:ascii="宋体" w:eastAsia="宋体" w:hAnsi="宋体" w:cs="宋体" w:hint="eastAsia"/>
        </w:rPr>
        <w:t>、</w:t>
      </w:r>
      <w:r w:rsidRPr="008451D1">
        <w:t>69</w:t>
      </w:r>
      <w:r w:rsidRPr="008451D1">
        <w:rPr>
          <w:rFonts w:ascii="宋体" w:eastAsia="宋体" w:hAnsi="宋体" w:cs="宋体" w:hint="eastAsia"/>
        </w:rPr>
        <w:t>）。</w:t>
      </w:r>
    </w:p>
    <w:p w14:paraId="23E77719" w14:textId="1F320051" w:rsidR="0026097E" w:rsidRPr="008451D1" w:rsidRDefault="00992950" w:rsidP="00992950">
      <w:pPr>
        <w:ind w:left="-15"/>
      </w:pPr>
      <w:r w:rsidRPr="008451D1">
        <w:t>5.9.3.4</w:t>
      </w:r>
      <w:r w:rsidRPr="008451D1">
        <w:rPr>
          <w:rFonts w:ascii="宋体" w:eastAsia="宋体" w:hAnsi="宋体" w:cs="宋体" w:hint="eastAsia"/>
        </w:rPr>
        <w:t>可以运用科学原理和专业判断来偏离</w:t>
      </w:r>
      <w:r w:rsidRPr="008451D1">
        <w:t>F3</w:t>
      </w:r>
      <w:r w:rsidRPr="008451D1">
        <w:rPr>
          <w:rFonts w:ascii="宋体" w:eastAsia="宋体" w:hAnsi="宋体" w:cs="宋体" w:hint="eastAsia"/>
        </w:rPr>
        <w:t>选择的指导</w:t>
      </w:r>
      <w:r w:rsidR="00284695" w:rsidRPr="008451D1">
        <w:rPr>
          <w:color w:val="C1151A"/>
        </w:rPr>
        <w:t>5.9.3.3</w:t>
      </w:r>
      <w:r w:rsidR="00284695" w:rsidRPr="008451D1">
        <w:t>.</w:t>
      </w:r>
    </w:p>
    <w:p w14:paraId="01D0C1B8" w14:textId="30178656" w:rsidR="0026097E" w:rsidRPr="008451D1" w:rsidRDefault="00284695">
      <w:pPr>
        <w:spacing w:after="48" w:line="248" w:lineRule="auto"/>
        <w:ind w:left="185" w:hanging="10"/>
      </w:pPr>
      <w:r w:rsidRPr="008451D1">
        <w:t xml:space="preserve">5.9.4 </w:t>
      </w:r>
      <w:r w:rsidR="00992950" w:rsidRPr="008451D1">
        <w:rPr>
          <w:rFonts w:ascii="宋体" w:eastAsia="宋体" w:hAnsi="宋体" w:cs="宋体" w:hint="eastAsia"/>
        </w:rPr>
        <w:t>严重程度</w:t>
      </w:r>
      <w:r w:rsidRPr="008451D1">
        <w:t>(F4):</w:t>
      </w:r>
    </w:p>
    <w:p w14:paraId="392269E8" w14:textId="77777777" w:rsidR="00992950" w:rsidRPr="008451D1" w:rsidRDefault="00284695" w:rsidP="00992950">
      <w:pPr>
        <w:spacing w:after="41"/>
        <w:ind w:left="-15"/>
      </w:pPr>
      <w:r w:rsidRPr="008451D1">
        <w:t>5.9.4.1 T</w:t>
      </w:r>
      <w:r w:rsidR="00992950" w:rsidRPr="008451D1">
        <w:rPr>
          <w:rFonts w:ascii="宋体" w:eastAsia="宋体" w:hAnsi="宋体" w:cs="宋体" w:hint="eastAsia"/>
        </w:rPr>
        <w:t>他的因素用于说明</w:t>
      </w:r>
      <w:proofErr w:type="spellStart"/>
      <w:r w:rsidR="00992950" w:rsidRPr="008451D1">
        <w:t>PoD</w:t>
      </w:r>
      <w:proofErr w:type="spellEnd"/>
      <w:r w:rsidR="00992950" w:rsidRPr="008451D1">
        <w:rPr>
          <w:rFonts w:ascii="宋体" w:eastAsia="宋体" w:hAnsi="宋体" w:cs="宋体" w:hint="eastAsia"/>
        </w:rPr>
        <w:t>之外的其他不确定性，例如影响的严重性，数据缺乏（生殖和发育毒性）或数据质量。</w:t>
      </w:r>
      <w:r w:rsidR="00992950" w:rsidRPr="008451D1">
        <w:t xml:space="preserve"> EMA</w:t>
      </w:r>
      <w:r w:rsidR="00992950" w:rsidRPr="008451D1">
        <w:rPr>
          <w:rFonts w:ascii="宋体" w:eastAsia="宋体" w:hAnsi="宋体" w:cs="宋体" w:hint="eastAsia"/>
        </w:rPr>
        <w:t>（</w:t>
      </w:r>
      <w:r w:rsidR="00992950" w:rsidRPr="008451D1">
        <w:t>14</w:t>
      </w:r>
      <w:r w:rsidR="00992950" w:rsidRPr="008451D1">
        <w:rPr>
          <w:rFonts w:ascii="宋体" w:eastAsia="宋体" w:hAnsi="宋体" w:cs="宋体" w:hint="eastAsia"/>
        </w:rPr>
        <w:t>）建议在严重毒性反应（例如，非遗传毒性致癌性，严重神经毒性或致畸性）的情况下应用一个因素（</w:t>
      </w:r>
      <w:r w:rsidR="00992950" w:rsidRPr="008451D1">
        <w:t>1-10</w:t>
      </w:r>
      <w:r w:rsidR="00992950" w:rsidRPr="008451D1">
        <w:rPr>
          <w:rFonts w:ascii="宋体" w:eastAsia="宋体" w:hAnsi="宋体" w:cs="宋体" w:hint="eastAsia"/>
        </w:rPr>
        <w:t>）。</w:t>
      </w:r>
    </w:p>
    <w:p w14:paraId="7845BD33" w14:textId="77777777" w:rsidR="00992950" w:rsidRPr="008451D1" w:rsidRDefault="00992950" w:rsidP="00992950">
      <w:pPr>
        <w:spacing w:after="41"/>
        <w:ind w:left="-15"/>
      </w:pPr>
      <w:r w:rsidRPr="008451D1">
        <w:t>5.9.4.2</w:t>
      </w:r>
      <w:r w:rsidRPr="008451D1">
        <w:rPr>
          <w:rFonts w:ascii="宋体" w:eastAsia="宋体" w:hAnsi="宋体" w:cs="宋体" w:hint="eastAsia"/>
        </w:rPr>
        <w:t>总体而言，在已鉴定出对人类健康有重大潜在不利影响的评估中，</w:t>
      </w:r>
      <w:r w:rsidRPr="00AC4723">
        <w:rPr>
          <w:rFonts w:ascii="宋体" w:eastAsia="宋体" w:hAnsi="宋体" w:cs="宋体" w:hint="eastAsia"/>
          <w:highlight w:val="yellow"/>
        </w:rPr>
        <w:t>应考虑使用</w:t>
      </w:r>
      <w:r w:rsidRPr="00AC4723">
        <w:rPr>
          <w:highlight w:val="yellow"/>
        </w:rPr>
        <w:t>F4</w:t>
      </w:r>
      <w:r w:rsidRPr="00AC4723">
        <w:rPr>
          <w:rFonts w:ascii="宋体" w:eastAsia="宋体" w:hAnsi="宋体" w:cs="宋体" w:hint="eastAsia"/>
          <w:highlight w:val="yellow"/>
        </w:rPr>
        <w:t>，例如致癌，遗传毒性，致畸性，不可逆转或威胁生命或两者兼而有之，并会损害生活质量的评估。但是，如果在所讨论的严重影响的</w:t>
      </w:r>
      <w:r w:rsidRPr="00AC4723">
        <w:rPr>
          <w:highlight w:val="yellow"/>
        </w:rPr>
        <w:t>NOAEL</w:t>
      </w:r>
      <w:r w:rsidRPr="00AC4723">
        <w:rPr>
          <w:rFonts w:ascii="宋体" w:eastAsia="宋体" w:hAnsi="宋体" w:cs="宋体" w:hint="eastAsia"/>
          <w:highlight w:val="yellow"/>
        </w:rPr>
        <w:t>和</w:t>
      </w:r>
      <w:proofErr w:type="spellStart"/>
      <w:r w:rsidRPr="00AC4723">
        <w:rPr>
          <w:highlight w:val="yellow"/>
        </w:rPr>
        <w:t>PoD</w:t>
      </w:r>
      <w:proofErr w:type="spellEnd"/>
      <w:r w:rsidRPr="00AC4723">
        <w:rPr>
          <w:rFonts w:ascii="宋体" w:eastAsia="宋体" w:hAnsi="宋体" w:cs="宋体" w:hint="eastAsia"/>
          <w:highlight w:val="yellow"/>
        </w:rPr>
        <w:t>之间确定了可接受的裕度，则这是不应用</w:t>
      </w:r>
      <w:r w:rsidRPr="00AC4723">
        <w:rPr>
          <w:highlight w:val="yellow"/>
        </w:rPr>
        <w:t>F4</w:t>
      </w:r>
      <w:r w:rsidRPr="00AC4723">
        <w:rPr>
          <w:rFonts w:ascii="宋体" w:eastAsia="宋体" w:hAnsi="宋体" w:cs="宋体" w:hint="eastAsia"/>
          <w:highlight w:val="yellow"/>
        </w:rPr>
        <w:t>的合理理由。</w:t>
      </w:r>
      <w:r w:rsidRPr="008451D1">
        <w:rPr>
          <w:rFonts w:ascii="宋体" w:eastAsia="宋体" w:hAnsi="宋体" w:cs="宋体" w:hint="eastAsia"/>
        </w:rPr>
        <w:t>当由于有限的数据或未完</w:t>
      </w:r>
      <w:proofErr w:type="gramStart"/>
      <w:r w:rsidRPr="008451D1">
        <w:rPr>
          <w:rFonts w:ascii="宋体" w:eastAsia="宋体" w:hAnsi="宋体" w:cs="宋体" w:hint="eastAsia"/>
        </w:rPr>
        <w:t>全理解</w:t>
      </w:r>
      <w:proofErr w:type="gramEnd"/>
      <w:r w:rsidRPr="008451D1">
        <w:rPr>
          <w:rFonts w:ascii="宋体" w:eastAsia="宋体" w:hAnsi="宋体" w:cs="宋体" w:hint="eastAsia"/>
        </w:rPr>
        <w:t>的</w:t>
      </w:r>
      <w:r w:rsidRPr="008451D1">
        <w:t>ADME</w:t>
      </w:r>
      <w:r w:rsidRPr="008451D1">
        <w:rPr>
          <w:rFonts w:ascii="宋体" w:eastAsia="宋体" w:hAnsi="宋体" w:cs="宋体" w:hint="eastAsia"/>
        </w:rPr>
        <w:t>参数而导致高度不确定性时，也可以使用此因子。仅在不确定性或关注点未在计算中的其他地方（由另一</w:t>
      </w:r>
      <w:r w:rsidRPr="008451D1">
        <w:t>AF</w:t>
      </w:r>
      <w:r w:rsidRPr="008451D1">
        <w:rPr>
          <w:rFonts w:ascii="宋体" w:eastAsia="宋体" w:hAnsi="宋体" w:cs="宋体" w:hint="eastAsia"/>
        </w:rPr>
        <w:t>来解决）并且合理地说明理由的情况下，才应使用</w:t>
      </w:r>
      <w:r w:rsidRPr="008451D1">
        <w:t>F4</w:t>
      </w:r>
      <w:r w:rsidRPr="008451D1">
        <w:rPr>
          <w:rFonts w:ascii="宋体" w:eastAsia="宋体" w:hAnsi="宋体" w:cs="宋体" w:hint="eastAsia"/>
        </w:rPr>
        <w:t>。</w:t>
      </w:r>
    </w:p>
    <w:p w14:paraId="1EE5B4F1" w14:textId="26783827" w:rsidR="0026097E" w:rsidRPr="008451D1" w:rsidRDefault="00992950" w:rsidP="00992950">
      <w:pPr>
        <w:spacing w:after="41"/>
        <w:ind w:left="-15"/>
      </w:pPr>
      <w:r w:rsidRPr="008451D1">
        <w:t>5.9.4.3</w:t>
      </w:r>
      <w:r w:rsidRPr="008451D1">
        <w:rPr>
          <w:rFonts w:ascii="宋体" w:eastAsia="宋体" w:hAnsi="宋体" w:cs="宋体" w:hint="eastAsia"/>
        </w:rPr>
        <w:t>有关为</w:t>
      </w:r>
      <w:r w:rsidRPr="008451D1">
        <w:t>F4 AF</w:t>
      </w:r>
      <w:r w:rsidRPr="008451D1">
        <w:rPr>
          <w:rFonts w:ascii="宋体" w:eastAsia="宋体" w:hAnsi="宋体" w:cs="宋体" w:hint="eastAsia"/>
        </w:rPr>
        <w:t>选择合适的值的一般指南包括</w:t>
      </w:r>
      <w:r w:rsidR="00284695" w:rsidRPr="008451D1">
        <w:t>:</w:t>
      </w:r>
    </w:p>
    <w:p w14:paraId="785C28FC" w14:textId="3D4D56F9" w:rsidR="00992950" w:rsidRPr="008451D1" w:rsidRDefault="008451D1" w:rsidP="008451D1">
      <w:pPr>
        <w:spacing w:after="62"/>
        <w:ind w:left="180" w:firstLine="0"/>
      </w:pPr>
      <w:r w:rsidRPr="008451D1">
        <w:rPr>
          <w:rFonts w:ascii="宋体" w:eastAsia="宋体" w:hAnsi="宋体" w:cs="宋体" w:hint="eastAsia"/>
        </w:rPr>
        <w:t>（1）</w:t>
      </w:r>
      <w:r w:rsidR="00992950" w:rsidRPr="00AC4723">
        <w:rPr>
          <w:rFonts w:ascii="宋体" w:eastAsia="宋体" w:hAnsi="宋体" w:cs="宋体" w:hint="eastAsia"/>
          <w:highlight w:val="yellow"/>
        </w:rPr>
        <w:t>如果使用了更大的</w:t>
      </w:r>
      <w:r w:rsidR="00992950" w:rsidRPr="00AC4723">
        <w:rPr>
          <w:highlight w:val="yellow"/>
        </w:rPr>
        <w:t>LOAEL</w:t>
      </w:r>
      <w:r w:rsidR="00992950" w:rsidRPr="00AC4723">
        <w:rPr>
          <w:rFonts w:ascii="宋体" w:eastAsia="宋体" w:hAnsi="宋体" w:cs="宋体" w:hint="eastAsia"/>
          <w:highlight w:val="yellow"/>
        </w:rPr>
        <w:t>到</w:t>
      </w:r>
      <w:r w:rsidR="00992950" w:rsidRPr="00AC4723">
        <w:rPr>
          <w:highlight w:val="yellow"/>
        </w:rPr>
        <w:t>NOAEL AF</w:t>
      </w:r>
      <w:r w:rsidR="00992950" w:rsidRPr="00AC4723">
        <w:rPr>
          <w:rFonts w:ascii="宋体" w:eastAsia="宋体" w:hAnsi="宋体" w:cs="宋体" w:hint="eastAsia"/>
          <w:highlight w:val="yellow"/>
        </w:rPr>
        <w:t>，可以认为足以覆盖效果的严重性，则不保证使用</w:t>
      </w:r>
      <w:r w:rsidR="00992950" w:rsidRPr="00AC4723">
        <w:rPr>
          <w:highlight w:val="yellow"/>
        </w:rPr>
        <w:t>F4</w:t>
      </w:r>
      <w:r w:rsidR="00992950" w:rsidRPr="008451D1">
        <w:rPr>
          <w:rFonts w:ascii="宋体" w:eastAsia="宋体" w:hAnsi="宋体" w:cs="宋体" w:hint="eastAsia"/>
        </w:rPr>
        <w:t>。</w:t>
      </w:r>
    </w:p>
    <w:p w14:paraId="029D4589" w14:textId="77777777" w:rsidR="00992950" w:rsidRPr="008451D1" w:rsidRDefault="00992950" w:rsidP="008451D1">
      <w:pPr>
        <w:spacing w:after="62"/>
        <w:ind w:left="180" w:firstLine="0"/>
      </w:pPr>
      <w:r w:rsidRPr="008451D1">
        <w:rPr>
          <w:rFonts w:ascii="宋体" w:eastAsia="宋体" w:hAnsi="宋体" w:cs="宋体" w:hint="eastAsia"/>
        </w:rPr>
        <w:t>（</w:t>
      </w:r>
      <w:r w:rsidRPr="008451D1">
        <w:t>2</w:t>
      </w:r>
      <w:r w:rsidRPr="008451D1">
        <w:rPr>
          <w:rFonts w:ascii="宋体" w:eastAsia="宋体" w:hAnsi="宋体" w:cs="宋体" w:hint="eastAsia"/>
        </w:rPr>
        <w:t>）</w:t>
      </w:r>
      <w:r w:rsidRPr="00AC4723">
        <w:rPr>
          <w:rFonts w:ascii="宋体" w:eastAsia="宋体" w:hAnsi="宋体" w:cs="宋体" w:hint="eastAsia"/>
          <w:highlight w:val="yellow"/>
        </w:rPr>
        <w:t>在考虑严重影响时，如果影响的</w:t>
      </w:r>
      <w:proofErr w:type="spellStart"/>
      <w:r w:rsidRPr="00AC4723">
        <w:rPr>
          <w:highlight w:val="yellow"/>
        </w:rPr>
        <w:t>PoD</w:t>
      </w:r>
      <w:proofErr w:type="spellEnd"/>
      <w:r w:rsidRPr="00AC4723">
        <w:rPr>
          <w:rFonts w:ascii="宋体" w:eastAsia="宋体" w:hAnsi="宋体" w:cs="宋体" w:hint="eastAsia"/>
          <w:highlight w:val="yellow"/>
        </w:rPr>
        <w:t>基于人类的</w:t>
      </w:r>
      <w:r w:rsidRPr="00AC4723">
        <w:rPr>
          <w:highlight w:val="yellow"/>
        </w:rPr>
        <w:t>NOAEL</w:t>
      </w:r>
      <w:r w:rsidRPr="00AC4723">
        <w:rPr>
          <w:rFonts w:ascii="宋体" w:eastAsia="宋体" w:hAnsi="宋体" w:cs="宋体" w:hint="eastAsia"/>
          <w:highlight w:val="yellow"/>
        </w:rPr>
        <w:t>，则可能不需使用</w:t>
      </w:r>
      <w:r w:rsidRPr="00AC4723">
        <w:rPr>
          <w:highlight w:val="yellow"/>
        </w:rPr>
        <w:t>F4</w:t>
      </w:r>
      <w:r w:rsidRPr="00AC4723">
        <w:rPr>
          <w:rFonts w:ascii="宋体" w:eastAsia="宋体" w:hAnsi="宋体" w:cs="宋体" w:hint="eastAsia"/>
          <w:highlight w:val="yellow"/>
        </w:rPr>
        <w:t>调整。</w:t>
      </w:r>
      <w:r w:rsidRPr="008451D1">
        <w:rPr>
          <w:rFonts w:ascii="宋体" w:eastAsia="宋体" w:hAnsi="宋体" w:cs="宋体" w:hint="eastAsia"/>
        </w:rPr>
        <w:t>如果效果的</w:t>
      </w:r>
      <w:proofErr w:type="spellStart"/>
      <w:r w:rsidRPr="008451D1">
        <w:t>PoD</w:t>
      </w:r>
      <w:proofErr w:type="spellEnd"/>
      <w:r w:rsidRPr="008451D1">
        <w:rPr>
          <w:rFonts w:ascii="宋体" w:eastAsia="宋体" w:hAnsi="宋体" w:cs="宋体" w:hint="eastAsia"/>
        </w:rPr>
        <w:t>是基于动物数据的，则如果尚未在人类中对效果进行适当评估（例如，发育或生殖毒性），则可能需要进行</w:t>
      </w:r>
      <w:r w:rsidRPr="008451D1">
        <w:t>F4</w:t>
      </w:r>
      <w:r w:rsidRPr="008451D1">
        <w:rPr>
          <w:rFonts w:ascii="宋体" w:eastAsia="宋体" w:hAnsi="宋体" w:cs="宋体" w:hint="eastAsia"/>
        </w:rPr>
        <w:t>调整。</w:t>
      </w:r>
    </w:p>
    <w:p w14:paraId="66814127" w14:textId="77777777" w:rsidR="00992950" w:rsidRPr="008451D1" w:rsidRDefault="00992950" w:rsidP="008451D1">
      <w:pPr>
        <w:spacing w:after="62"/>
        <w:ind w:left="180" w:firstLine="0"/>
      </w:pPr>
      <w:r w:rsidRPr="008451D1">
        <w:rPr>
          <w:rFonts w:ascii="宋体" w:eastAsia="宋体" w:hAnsi="宋体" w:cs="宋体" w:hint="eastAsia"/>
        </w:rPr>
        <w:t>（</w:t>
      </w:r>
      <w:r w:rsidRPr="008451D1">
        <w:t>3</w:t>
      </w:r>
      <w:r w:rsidRPr="008451D1">
        <w:rPr>
          <w:rFonts w:ascii="宋体" w:eastAsia="宋体" w:hAnsi="宋体" w:cs="宋体" w:hint="eastAsia"/>
        </w:rPr>
        <w:t>）</w:t>
      </w:r>
      <w:r w:rsidRPr="00AC4723">
        <w:rPr>
          <w:rFonts w:ascii="宋体" w:eastAsia="宋体" w:hAnsi="宋体" w:cs="宋体" w:hint="eastAsia"/>
          <w:highlight w:val="yellow"/>
        </w:rPr>
        <w:t>如果</w:t>
      </w:r>
      <w:proofErr w:type="spellStart"/>
      <w:r w:rsidRPr="00AC4723">
        <w:rPr>
          <w:highlight w:val="yellow"/>
        </w:rPr>
        <w:t>PoD</w:t>
      </w:r>
      <w:proofErr w:type="spellEnd"/>
      <w:r w:rsidRPr="00AC4723">
        <w:rPr>
          <w:rFonts w:ascii="宋体" w:eastAsia="宋体" w:hAnsi="宋体" w:cs="宋体" w:hint="eastAsia"/>
          <w:highlight w:val="yellow"/>
        </w:rPr>
        <w:t>是来自</w:t>
      </w:r>
      <w:r w:rsidRPr="00AC4723">
        <w:rPr>
          <w:highlight w:val="yellow"/>
        </w:rPr>
        <w:t>NOAEL</w:t>
      </w:r>
      <w:r w:rsidRPr="00AC4723">
        <w:rPr>
          <w:rFonts w:ascii="宋体" w:eastAsia="宋体" w:hAnsi="宋体" w:cs="宋体" w:hint="eastAsia"/>
          <w:highlight w:val="yellow"/>
        </w:rPr>
        <w:t>的严重影响，则</w:t>
      </w:r>
      <w:proofErr w:type="spellStart"/>
      <w:r w:rsidRPr="00AC4723">
        <w:rPr>
          <w:highlight w:val="yellow"/>
        </w:rPr>
        <w:t>PoD</w:t>
      </w:r>
      <w:proofErr w:type="spellEnd"/>
      <w:r w:rsidRPr="00AC4723">
        <w:rPr>
          <w:rFonts w:ascii="宋体" w:eastAsia="宋体" w:hAnsi="宋体" w:cs="宋体" w:hint="eastAsia"/>
          <w:highlight w:val="yellow"/>
        </w:rPr>
        <w:t>并非来自人类，</w:t>
      </w:r>
      <w:r w:rsidRPr="00AC4723">
        <w:rPr>
          <w:highlight w:val="yellow"/>
        </w:rPr>
        <w:t>LOAEL</w:t>
      </w:r>
      <w:r w:rsidRPr="00AC4723">
        <w:rPr>
          <w:rFonts w:ascii="宋体" w:eastAsia="宋体" w:hAnsi="宋体" w:cs="宋体" w:hint="eastAsia"/>
          <w:highlight w:val="yellow"/>
        </w:rPr>
        <w:t>可能无法涵盖物种差异到</w:t>
      </w:r>
      <w:r w:rsidRPr="00AC4723">
        <w:rPr>
          <w:highlight w:val="yellow"/>
        </w:rPr>
        <w:t>NOAELAF F5</w:t>
      </w:r>
      <w:r w:rsidRPr="00AC4723">
        <w:rPr>
          <w:rFonts w:ascii="宋体" w:eastAsia="宋体" w:hAnsi="宋体" w:cs="宋体" w:hint="eastAsia"/>
          <w:highlight w:val="yellow"/>
        </w:rPr>
        <w:t>，则需要进行</w:t>
      </w:r>
      <w:r w:rsidRPr="00AC4723">
        <w:rPr>
          <w:highlight w:val="yellow"/>
        </w:rPr>
        <w:t>F4</w:t>
      </w:r>
      <w:r w:rsidRPr="00AC4723">
        <w:rPr>
          <w:rFonts w:ascii="宋体" w:eastAsia="宋体" w:hAnsi="宋体" w:cs="宋体" w:hint="eastAsia"/>
          <w:highlight w:val="yellow"/>
        </w:rPr>
        <w:t>调整。</w:t>
      </w:r>
    </w:p>
    <w:p w14:paraId="07AD71B4" w14:textId="77777777" w:rsidR="00992950" w:rsidRPr="008451D1" w:rsidRDefault="00992950" w:rsidP="008451D1">
      <w:pPr>
        <w:spacing w:after="62"/>
        <w:ind w:left="180" w:firstLine="0"/>
      </w:pPr>
      <w:r w:rsidRPr="008451D1">
        <w:rPr>
          <w:rFonts w:ascii="宋体" w:eastAsia="宋体" w:hAnsi="宋体" w:cs="宋体" w:hint="eastAsia"/>
        </w:rPr>
        <w:t>（</w:t>
      </w:r>
      <w:r w:rsidRPr="008451D1">
        <w:t>4</w:t>
      </w:r>
      <w:r w:rsidRPr="008451D1">
        <w:rPr>
          <w:rFonts w:ascii="宋体" w:eastAsia="宋体" w:hAnsi="宋体" w:cs="宋体" w:hint="eastAsia"/>
        </w:rPr>
        <w:t>）评估使用</w:t>
      </w:r>
      <w:r w:rsidRPr="008451D1">
        <w:t>F4</w:t>
      </w:r>
      <w:r w:rsidRPr="008451D1">
        <w:rPr>
          <w:rFonts w:ascii="宋体" w:eastAsia="宋体" w:hAnsi="宋体" w:cs="宋体" w:hint="eastAsia"/>
        </w:rPr>
        <w:t>值时应考虑的一些注意事项与</w:t>
      </w:r>
      <w:proofErr w:type="spellStart"/>
      <w:r w:rsidRPr="008451D1">
        <w:t>PoD</w:t>
      </w:r>
      <w:proofErr w:type="spellEnd"/>
      <w:r w:rsidRPr="008451D1">
        <w:rPr>
          <w:rFonts w:ascii="宋体" w:eastAsia="宋体" w:hAnsi="宋体" w:cs="宋体" w:hint="eastAsia"/>
        </w:rPr>
        <w:t>何时有可能引起上述问题有关。例如：</w:t>
      </w:r>
    </w:p>
    <w:p w14:paraId="23EFCC87" w14:textId="77777777" w:rsidR="00992950" w:rsidRPr="00AC4723" w:rsidRDefault="00992950" w:rsidP="008451D1">
      <w:pPr>
        <w:spacing w:after="62"/>
        <w:ind w:left="180" w:firstLine="0"/>
        <w:rPr>
          <w:highlight w:val="yellow"/>
        </w:rPr>
      </w:pPr>
      <w:r w:rsidRPr="008451D1">
        <w:rPr>
          <w:rFonts w:ascii="宋体" w:eastAsia="宋体" w:hAnsi="宋体" w:cs="宋体" w:hint="eastAsia"/>
        </w:rPr>
        <w:t>（</w:t>
      </w:r>
      <w:r w:rsidRPr="008451D1">
        <w:t>a</w:t>
      </w:r>
      <w:r w:rsidRPr="008451D1">
        <w:rPr>
          <w:rFonts w:ascii="宋体" w:eastAsia="宋体" w:hAnsi="宋体" w:cs="宋体" w:hint="eastAsia"/>
        </w:rPr>
        <w:t>）</w:t>
      </w:r>
      <w:r w:rsidRPr="00AC4723">
        <w:rPr>
          <w:rFonts w:ascii="宋体" w:eastAsia="宋体" w:hAnsi="宋体" w:cs="宋体" w:hint="eastAsia"/>
          <w:highlight w:val="yellow"/>
        </w:rPr>
        <w:t>引起高度关注的影响包</w:t>
      </w:r>
      <w:r w:rsidRPr="00AC4723">
        <w:rPr>
          <w:highlight w:val="yellow"/>
        </w:rPr>
        <w:t>​​</w:t>
      </w:r>
      <w:proofErr w:type="gramStart"/>
      <w:r w:rsidRPr="00AC4723">
        <w:rPr>
          <w:rFonts w:ascii="宋体" w:eastAsia="宋体" w:hAnsi="宋体" w:cs="宋体" w:hint="eastAsia"/>
          <w:highlight w:val="yellow"/>
        </w:rPr>
        <w:t>括</w:t>
      </w:r>
      <w:proofErr w:type="gramEnd"/>
      <w:r w:rsidRPr="00AC4723">
        <w:rPr>
          <w:rFonts w:ascii="宋体" w:eastAsia="宋体" w:hAnsi="宋体" w:cs="宋体" w:hint="eastAsia"/>
          <w:highlight w:val="yellow"/>
        </w:rPr>
        <w:t>诱变性，致癌性，严重的不可逆作用</w:t>
      </w:r>
      <w:r w:rsidRPr="00AC4723">
        <w:rPr>
          <w:highlight w:val="yellow"/>
        </w:rPr>
        <w:t>[</w:t>
      </w:r>
      <w:r w:rsidRPr="00AC4723">
        <w:rPr>
          <w:rFonts w:ascii="宋体" w:eastAsia="宋体" w:hAnsi="宋体" w:cs="宋体" w:hint="eastAsia"/>
          <w:highlight w:val="yellow"/>
        </w:rPr>
        <w:t>例如，目标外或目标外器官毒性，生殖（无菌），发育（致畸性）毒性或其组合）或生物死亡：</w:t>
      </w:r>
      <w:r w:rsidRPr="00AC4723">
        <w:rPr>
          <w:highlight w:val="yellow"/>
        </w:rPr>
        <w:t xml:space="preserve"> 10;</w:t>
      </w:r>
    </w:p>
    <w:p w14:paraId="41860B1E" w14:textId="77777777" w:rsidR="00992950" w:rsidRPr="00AC4723" w:rsidRDefault="00992950" w:rsidP="008451D1">
      <w:pPr>
        <w:spacing w:after="62"/>
        <w:ind w:left="180" w:firstLine="0"/>
        <w:rPr>
          <w:highlight w:val="yellow"/>
        </w:rPr>
      </w:pPr>
      <w:r w:rsidRPr="00AC4723">
        <w:rPr>
          <w:rFonts w:ascii="宋体" w:eastAsia="宋体" w:hAnsi="宋体" w:cs="宋体" w:hint="eastAsia"/>
          <w:highlight w:val="yellow"/>
        </w:rPr>
        <w:t>（</w:t>
      </w:r>
      <w:r w:rsidRPr="00AC4723">
        <w:rPr>
          <w:highlight w:val="yellow"/>
        </w:rPr>
        <w:t>b</w:t>
      </w:r>
      <w:r w:rsidRPr="00AC4723">
        <w:rPr>
          <w:rFonts w:ascii="宋体" w:eastAsia="宋体" w:hAnsi="宋体" w:cs="宋体" w:hint="eastAsia"/>
          <w:highlight w:val="yellow"/>
        </w:rPr>
        <w:t>）可逆的，非致命的不利健康后果（例如目标器官疾病，生殖（怀孕时间增加）或发育毒性（可逆的功能改变）的不良后果：</w:t>
      </w:r>
      <w:r w:rsidRPr="00AC4723">
        <w:rPr>
          <w:highlight w:val="yellow"/>
        </w:rPr>
        <w:t>3-5</w:t>
      </w:r>
      <w:r w:rsidRPr="00AC4723">
        <w:rPr>
          <w:rFonts w:ascii="宋体" w:eastAsia="宋体" w:hAnsi="宋体" w:cs="宋体" w:hint="eastAsia"/>
          <w:highlight w:val="yellow"/>
        </w:rPr>
        <w:t>；</w:t>
      </w:r>
    </w:p>
    <w:p w14:paraId="71B0AEBE" w14:textId="77777777" w:rsidR="008451D1" w:rsidRPr="00AC4723" w:rsidRDefault="00992950" w:rsidP="008451D1">
      <w:pPr>
        <w:spacing w:after="62"/>
        <w:rPr>
          <w:highlight w:val="yellow"/>
        </w:rPr>
      </w:pPr>
      <w:r w:rsidRPr="00AC4723">
        <w:rPr>
          <w:rFonts w:ascii="宋体" w:eastAsia="宋体" w:hAnsi="宋体" w:cs="宋体" w:hint="eastAsia"/>
          <w:highlight w:val="yellow"/>
        </w:rPr>
        <w:t>（</w:t>
      </w:r>
      <w:r w:rsidRPr="00AC4723">
        <w:rPr>
          <w:highlight w:val="yellow"/>
        </w:rPr>
        <w:t>c</w:t>
      </w:r>
      <w:r w:rsidRPr="00AC4723">
        <w:rPr>
          <w:rFonts w:ascii="宋体" w:eastAsia="宋体" w:hAnsi="宋体" w:cs="宋体" w:hint="eastAsia"/>
          <w:highlight w:val="yellow"/>
        </w:rPr>
        <w:t>）临床中的适应性，轻度</w:t>
      </w:r>
      <w:r w:rsidRPr="00AC4723">
        <w:rPr>
          <w:highlight w:val="yellow"/>
        </w:rPr>
        <w:t>/</w:t>
      </w:r>
      <w:r w:rsidRPr="00AC4723">
        <w:rPr>
          <w:rFonts w:ascii="宋体" w:eastAsia="宋体" w:hAnsi="宋体" w:cs="宋体" w:hint="eastAsia"/>
          <w:highlight w:val="yellow"/>
        </w:rPr>
        <w:t>可耐受不良事件，与压力有关的影响；主要</w:t>
      </w:r>
      <w:r w:rsidRPr="00AC4723">
        <w:rPr>
          <w:highlight w:val="yellow"/>
        </w:rPr>
        <w:t>/</w:t>
      </w:r>
      <w:r w:rsidRPr="00AC4723">
        <w:rPr>
          <w:rFonts w:ascii="宋体" w:eastAsia="宋体" w:hAnsi="宋体" w:cs="宋体" w:hint="eastAsia"/>
          <w:highlight w:val="yellow"/>
        </w:rPr>
        <w:t>次要药理：</w:t>
      </w:r>
      <w:r w:rsidRPr="00AC4723">
        <w:rPr>
          <w:highlight w:val="yellow"/>
        </w:rPr>
        <w:t>1</w:t>
      </w:r>
      <w:r w:rsidRPr="00AC4723">
        <w:rPr>
          <w:rFonts w:ascii="宋体" w:eastAsia="宋体" w:hAnsi="宋体" w:cs="宋体" w:hint="eastAsia"/>
          <w:highlight w:val="yellow"/>
        </w:rPr>
        <w:t>；</w:t>
      </w:r>
      <w:r w:rsidRPr="00AC4723">
        <w:rPr>
          <w:highlight w:val="yellow"/>
        </w:rPr>
        <w:t xml:space="preserve"> </w:t>
      </w:r>
    </w:p>
    <w:p w14:paraId="37E3CC46" w14:textId="5221B1D9" w:rsidR="0026097E" w:rsidRPr="008451D1" w:rsidRDefault="00992950" w:rsidP="008451D1">
      <w:pPr>
        <w:spacing w:after="62"/>
      </w:pPr>
      <w:r w:rsidRPr="00AC4723">
        <w:rPr>
          <w:rFonts w:ascii="宋体" w:eastAsia="宋体" w:hAnsi="宋体" w:cs="宋体" w:hint="eastAsia"/>
          <w:highlight w:val="yellow"/>
        </w:rPr>
        <w:t>（</w:t>
      </w:r>
      <w:r w:rsidRPr="00AC4723">
        <w:rPr>
          <w:highlight w:val="yellow"/>
        </w:rPr>
        <w:t>d</w:t>
      </w:r>
      <w:r w:rsidRPr="00AC4723">
        <w:rPr>
          <w:rFonts w:ascii="宋体" w:eastAsia="宋体" w:hAnsi="宋体" w:cs="宋体" w:hint="eastAsia"/>
          <w:highlight w:val="yellow"/>
        </w:rPr>
        <w:t>）基于专业判断的严重程度：</w:t>
      </w:r>
      <w:r w:rsidRPr="00AC4723">
        <w:rPr>
          <w:highlight w:val="yellow"/>
        </w:rPr>
        <w:t>1-10</w:t>
      </w:r>
      <w:r w:rsidR="00284695" w:rsidRPr="00AC4723">
        <w:rPr>
          <w:highlight w:val="yellow"/>
        </w:rPr>
        <w:t>.</w:t>
      </w:r>
    </w:p>
    <w:p w14:paraId="3920621C" w14:textId="11FB54BA" w:rsidR="0026097E" w:rsidRPr="008451D1" w:rsidRDefault="00284695">
      <w:pPr>
        <w:spacing w:after="71" w:line="248" w:lineRule="auto"/>
        <w:ind w:left="185" w:hanging="10"/>
      </w:pPr>
      <w:r w:rsidRPr="008451D1">
        <w:lastRenderedPageBreak/>
        <w:t xml:space="preserve">5.9.5 </w:t>
      </w:r>
      <w:r w:rsidR="00992950" w:rsidRPr="008451D1">
        <w:t>LOAEL</w:t>
      </w:r>
      <w:r w:rsidR="00412682">
        <w:rPr>
          <w:rFonts w:ascii="宋体" w:eastAsia="宋体" w:hAnsi="宋体" w:cs="宋体" w:hint="eastAsia"/>
        </w:rPr>
        <w:t>（观察到有害作用的最低剂量）</w:t>
      </w:r>
      <w:r w:rsidR="00992950" w:rsidRPr="008451D1">
        <w:rPr>
          <w:rFonts w:ascii="宋体" w:eastAsia="宋体" w:hAnsi="宋体" w:cs="宋体" w:hint="eastAsia"/>
        </w:rPr>
        <w:t>到</w:t>
      </w:r>
      <w:r w:rsidR="00992950" w:rsidRPr="008451D1">
        <w:t>NOAEL</w:t>
      </w:r>
      <w:r w:rsidR="00412682">
        <w:rPr>
          <w:rFonts w:ascii="宋体" w:eastAsia="宋体" w:hAnsi="宋体" w:cs="宋体" w:hint="eastAsia"/>
        </w:rPr>
        <w:t>（没有观察到效果）</w:t>
      </w:r>
      <w:r w:rsidR="00992950" w:rsidRPr="008451D1">
        <w:rPr>
          <w:rFonts w:ascii="宋体" w:eastAsia="宋体" w:hAnsi="宋体" w:cs="宋体" w:hint="eastAsia"/>
        </w:rPr>
        <w:t>外推</w:t>
      </w:r>
      <w:r w:rsidR="008451D1">
        <w:rPr>
          <w:rFonts w:ascii="宋体" w:eastAsia="宋体" w:hAnsi="宋体" w:cs="宋体" w:hint="eastAsia"/>
        </w:rPr>
        <w:t>法</w:t>
      </w:r>
      <w:r w:rsidRPr="008451D1">
        <w:t>(F5; UF</w:t>
      </w:r>
      <w:r w:rsidRPr="008451D1">
        <w:rPr>
          <w:vertAlign w:val="subscript"/>
        </w:rPr>
        <w:t>L</w:t>
      </w:r>
      <w:r w:rsidRPr="008451D1">
        <w:t>):</w:t>
      </w:r>
    </w:p>
    <w:p w14:paraId="0FA8B0CC" w14:textId="77777777" w:rsidR="00992950" w:rsidRDefault="00284695" w:rsidP="00992950">
      <w:pPr>
        <w:spacing w:after="54"/>
        <w:ind w:left="-15"/>
      </w:pPr>
      <w:r>
        <w:t xml:space="preserve">5.9.5.1 </w:t>
      </w:r>
      <w:r w:rsidR="00992950">
        <w:rPr>
          <w:rFonts w:ascii="宋体" w:eastAsia="宋体" w:hAnsi="宋体" w:cs="宋体" w:hint="eastAsia"/>
        </w:rPr>
        <w:t>当在关键研究中无法使用</w:t>
      </w:r>
      <w:r w:rsidR="00992950">
        <w:t>NOAEL</w:t>
      </w:r>
      <w:r w:rsidR="00992950">
        <w:rPr>
          <w:rFonts w:ascii="宋体" w:eastAsia="宋体" w:hAnsi="宋体" w:cs="宋体" w:hint="eastAsia"/>
        </w:rPr>
        <w:t>进行</w:t>
      </w:r>
      <w:r w:rsidR="00992950">
        <w:t>HBEL</w:t>
      </w:r>
      <w:r w:rsidR="00992950">
        <w:rPr>
          <w:rFonts w:ascii="宋体" w:eastAsia="宋体" w:hAnsi="宋体" w:cs="宋体" w:hint="eastAsia"/>
        </w:rPr>
        <w:t>计算时，该因素解决了不确定情况下的不确定性。</w:t>
      </w:r>
      <w:r w:rsidR="00992950">
        <w:t xml:space="preserve"> F5</w:t>
      </w:r>
      <w:r w:rsidR="00992950">
        <w:rPr>
          <w:rFonts w:ascii="宋体" w:eastAsia="宋体" w:hAnsi="宋体" w:cs="宋体" w:hint="eastAsia"/>
        </w:rPr>
        <w:t>应用于</w:t>
      </w:r>
      <w:r w:rsidR="00992950">
        <w:t>LOAEL</w:t>
      </w:r>
      <w:r w:rsidR="00992950">
        <w:rPr>
          <w:rFonts w:ascii="宋体" w:eastAsia="宋体" w:hAnsi="宋体" w:cs="宋体" w:hint="eastAsia"/>
        </w:rPr>
        <w:t>，</w:t>
      </w:r>
      <w:proofErr w:type="gramStart"/>
      <w:r w:rsidR="00992950">
        <w:rPr>
          <w:rFonts w:ascii="宋体" w:eastAsia="宋体" w:hAnsi="宋体" w:cs="宋体" w:hint="eastAsia"/>
        </w:rPr>
        <w:t>以估计</w:t>
      </w:r>
      <w:proofErr w:type="gramEnd"/>
      <w:r w:rsidR="00992950">
        <w:t>NOAEL</w:t>
      </w:r>
      <w:r w:rsidR="00992950">
        <w:rPr>
          <w:rFonts w:ascii="宋体" w:eastAsia="宋体" w:hAnsi="宋体" w:cs="宋体" w:hint="eastAsia"/>
        </w:rPr>
        <w:t>。选择</w:t>
      </w:r>
      <w:r w:rsidR="00992950">
        <w:t>F5</w:t>
      </w:r>
      <w:r w:rsidR="00992950">
        <w:rPr>
          <w:rFonts w:ascii="宋体" w:eastAsia="宋体" w:hAnsi="宋体" w:cs="宋体" w:hint="eastAsia"/>
        </w:rPr>
        <w:t>时应考虑的因素包括剂量反应曲线的陡度，影响的严重性以及关键研究中的剂量间隔。如果导出了</w:t>
      </w:r>
      <w:r w:rsidR="00992950">
        <w:t>BMDL</w:t>
      </w:r>
      <w:r w:rsidR="00992950">
        <w:rPr>
          <w:rFonts w:ascii="宋体" w:eastAsia="宋体" w:hAnsi="宋体" w:cs="宋体" w:hint="eastAsia"/>
        </w:rPr>
        <w:t>，则通常将其视为</w:t>
      </w:r>
      <w:r w:rsidR="00992950">
        <w:t>NOAEL</w:t>
      </w:r>
      <w:r w:rsidR="00992950">
        <w:rPr>
          <w:rFonts w:ascii="宋体" w:eastAsia="宋体" w:hAnsi="宋体" w:cs="宋体" w:hint="eastAsia"/>
        </w:rPr>
        <w:t>，不需要</w:t>
      </w:r>
      <w:r w:rsidR="00992950">
        <w:t>F5</w:t>
      </w:r>
      <w:r w:rsidR="00992950">
        <w:rPr>
          <w:rFonts w:ascii="宋体" w:eastAsia="宋体" w:hAnsi="宋体" w:cs="宋体" w:hint="eastAsia"/>
        </w:rPr>
        <w:t>。</w:t>
      </w:r>
    </w:p>
    <w:p w14:paraId="59E74616" w14:textId="55934339" w:rsidR="0026097E" w:rsidRPr="00412682" w:rsidRDefault="00992950" w:rsidP="00992950">
      <w:pPr>
        <w:spacing w:after="54"/>
        <w:ind w:left="-15"/>
      </w:pPr>
      <w:r>
        <w:t>5.9.5.2</w:t>
      </w:r>
      <w:r>
        <w:rPr>
          <w:rFonts w:ascii="宋体" w:eastAsia="宋体" w:hAnsi="宋体" w:cs="宋体" w:hint="eastAsia"/>
        </w:rPr>
        <w:t>当使用人类数据时，通常在治疗剂量及其附近有大量的药理</w:t>
      </w:r>
      <w:r>
        <w:t>/</w:t>
      </w:r>
      <w:r>
        <w:rPr>
          <w:rFonts w:ascii="宋体" w:eastAsia="宋体" w:hAnsi="宋体" w:cs="宋体" w:hint="eastAsia"/>
        </w:rPr>
        <w:t>毒理学数据。早期临床研究可能会调查</w:t>
      </w:r>
      <w:proofErr w:type="gramStart"/>
      <w:r>
        <w:rPr>
          <w:rFonts w:ascii="宋体" w:eastAsia="宋体" w:hAnsi="宋体" w:cs="宋体" w:hint="eastAsia"/>
        </w:rPr>
        <w:t>亚治疗</w:t>
      </w:r>
      <w:proofErr w:type="gramEnd"/>
      <w:r>
        <w:rPr>
          <w:rFonts w:ascii="宋体" w:eastAsia="宋体" w:hAnsi="宋体" w:cs="宋体" w:hint="eastAsia"/>
        </w:rPr>
        <w:t>剂量，并提供有关药理和毒理作用的剂量反应的信息。</w:t>
      </w:r>
      <w:r w:rsidRPr="00AC4723">
        <w:rPr>
          <w:rFonts w:ascii="宋体" w:eastAsia="宋体" w:hAnsi="宋体" w:cs="宋体" w:hint="eastAsia"/>
          <w:highlight w:val="yellow"/>
        </w:rPr>
        <w:t>肿瘤产品剂量通常等于或接近最大耐受剂量，通常会引起明显的毒性。因此，可以使用</w:t>
      </w:r>
      <w:r w:rsidRPr="00AC4723">
        <w:rPr>
          <w:highlight w:val="yellow"/>
        </w:rPr>
        <w:t>10</w:t>
      </w:r>
      <w:r w:rsidRPr="00AC4723">
        <w:rPr>
          <w:rFonts w:ascii="宋体" w:eastAsia="宋体" w:hAnsi="宋体" w:cs="宋体" w:hint="eastAsia"/>
          <w:highlight w:val="yellow"/>
        </w:rPr>
        <w:t>或更大的</w:t>
      </w:r>
      <w:r w:rsidRPr="00AC4723">
        <w:rPr>
          <w:highlight w:val="yellow"/>
        </w:rPr>
        <w:t>F5</w:t>
      </w:r>
      <w:r w:rsidRPr="00AC4723">
        <w:rPr>
          <w:rFonts w:ascii="宋体" w:eastAsia="宋体" w:hAnsi="宋体" w:cs="宋体" w:hint="eastAsia"/>
          <w:highlight w:val="yellow"/>
        </w:rPr>
        <w:t>。如果观察到剂量效应，并且反应接近背景，则可以使用较低的系数，例如</w:t>
      </w:r>
      <w:r w:rsidRPr="00AC4723">
        <w:rPr>
          <w:highlight w:val="yellow"/>
        </w:rPr>
        <w:t>3</w:t>
      </w:r>
      <w:r w:rsidR="00284695" w:rsidRPr="00AC4723">
        <w:rPr>
          <w:highlight w:val="yellow"/>
        </w:rPr>
        <w:t>.</w:t>
      </w:r>
    </w:p>
    <w:p w14:paraId="1878A584" w14:textId="26D27859" w:rsidR="0026097E" w:rsidRPr="00412682" w:rsidRDefault="00284695">
      <w:pPr>
        <w:spacing w:after="48" w:line="248" w:lineRule="auto"/>
        <w:ind w:firstLine="190"/>
      </w:pPr>
      <w:r w:rsidRPr="00412682">
        <w:t xml:space="preserve">5.9.6 </w:t>
      </w:r>
      <w:r w:rsidR="00992950" w:rsidRPr="00412682">
        <w:rPr>
          <w:rFonts w:ascii="宋体" w:eastAsia="宋体" w:hAnsi="宋体" w:cs="宋体" w:hint="eastAsia"/>
        </w:rPr>
        <w:t>数据库完整性（</w:t>
      </w:r>
      <w:r w:rsidR="00992950" w:rsidRPr="00412682">
        <w:t>UFD</w:t>
      </w:r>
      <w:r w:rsidR="00992950" w:rsidRPr="00412682">
        <w:rPr>
          <w:rFonts w:ascii="宋体" w:eastAsia="宋体" w:hAnsi="宋体" w:cs="宋体" w:hint="eastAsia"/>
        </w:rPr>
        <w:t>）或修改因子（</w:t>
      </w:r>
      <w:r w:rsidR="00992950" w:rsidRPr="00412682">
        <w:t>MF</w:t>
      </w:r>
      <w:r w:rsidR="00992950" w:rsidRPr="00412682">
        <w:rPr>
          <w:rFonts w:ascii="宋体" w:eastAsia="宋体" w:hAnsi="宋体" w:cs="宋体" w:hint="eastAsia"/>
        </w:rPr>
        <w:t>）</w:t>
      </w:r>
      <w:r w:rsidRPr="00412682">
        <w:t>:</w:t>
      </w:r>
    </w:p>
    <w:p w14:paraId="2E35271F" w14:textId="77777777" w:rsidR="00992950" w:rsidRDefault="00284695" w:rsidP="00992950">
      <w:pPr>
        <w:ind w:left="-15"/>
      </w:pPr>
      <w:r>
        <w:t>5.9.6.1</w:t>
      </w:r>
      <w:r w:rsidR="00992950">
        <w:rPr>
          <w:rFonts w:ascii="宋体" w:eastAsia="宋体" w:hAnsi="宋体" w:cs="宋体" w:hint="eastAsia"/>
        </w:rPr>
        <w:t>如果所评估化合物的可用数据有限，并且在相当少量的毒性研究中不确定是否可以发现关键作用，则可以采用一个因素来弥补这一不确定性（</w:t>
      </w:r>
      <w:r w:rsidR="00992950">
        <w:t>105</w:t>
      </w:r>
      <w:r w:rsidR="00992950">
        <w:rPr>
          <w:rFonts w:ascii="宋体" w:eastAsia="宋体" w:hAnsi="宋体" w:cs="宋体" w:hint="eastAsia"/>
        </w:rPr>
        <w:t>）。</w:t>
      </w:r>
      <w:r w:rsidR="00992950" w:rsidRPr="00AC4723">
        <w:rPr>
          <w:rFonts w:ascii="宋体" w:eastAsia="宋体" w:hAnsi="宋体" w:cs="宋体" w:hint="eastAsia"/>
          <w:highlight w:val="yellow"/>
        </w:rPr>
        <w:t>通常将其称为数据库完整性或修改因子（</w:t>
      </w:r>
      <w:r w:rsidR="00992950" w:rsidRPr="00AC4723">
        <w:rPr>
          <w:highlight w:val="yellow"/>
        </w:rPr>
        <w:t>MF</w:t>
      </w:r>
      <w:r w:rsidR="00992950" w:rsidRPr="00AC4723">
        <w:rPr>
          <w:rFonts w:ascii="宋体" w:eastAsia="宋体" w:hAnsi="宋体" w:cs="宋体" w:hint="eastAsia"/>
          <w:highlight w:val="yellow"/>
        </w:rPr>
        <w:t>）。该因子不是</w:t>
      </w:r>
      <w:r w:rsidR="00992950" w:rsidRPr="00AC4723">
        <w:rPr>
          <w:highlight w:val="yellow"/>
        </w:rPr>
        <w:t>EMA AF</w:t>
      </w:r>
      <w:r w:rsidR="00992950" w:rsidRPr="00AC4723">
        <w:rPr>
          <w:rFonts w:ascii="宋体" w:eastAsia="宋体" w:hAnsi="宋体" w:cs="宋体" w:hint="eastAsia"/>
          <w:highlight w:val="yellow"/>
        </w:rPr>
        <w:t>的标准集合的一部分，而是</w:t>
      </w:r>
      <w:r w:rsidR="00992950" w:rsidRPr="00AC4723">
        <w:rPr>
          <w:highlight w:val="yellow"/>
        </w:rPr>
        <w:t>ISPE Risk-</w:t>
      </w:r>
      <w:proofErr w:type="spellStart"/>
      <w:r w:rsidR="00992950" w:rsidRPr="00AC4723">
        <w:rPr>
          <w:highlight w:val="yellow"/>
        </w:rPr>
        <w:t>MaPP</w:t>
      </w:r>
      <w:proofErr w:type="spellEnd"/>
      <w:r w:rsidR="00992950" w:rsidRPr="00AC4723">
        <w:rPr>
          <w:highlight w:val="yellow"/>
        </w:rPr>
        <w:t xml:space="preserve"> AF</w:t>
      </w:r>
      <w:r w:rsidR="00992950" w:rsidRPr="00AC4723">
        <w:rPr>
          <w:rFonts w:ascii="宋体" w:eastAsia="宋体" w:hAnsi="宋体" w:cs="宋体" w:hint="eastAsia"/>
          <w:highlight w:val="yellow"/>
        </w:rPr>
        <w:t>之一（</w:t>
      </w:r>
      <w:r w:rsidR="00992950" w:rsidRPr="00AC4723">
        <w:rPr>
          <w:highlight w:val="yellow"/>
        </w:rPr>
        <w:t>29</w:t>
      </w:r>
      <w:r w:rsidR="00992950" w:rsidRPr="00AC4723">
        <w:rPr>
          <w:rFonts w:ascii="宋体" w:eastAsia="宋体" w:hAnsi="宋体" w:cs="宋体" w:hint="eastAsia"/>
          <w:highlight w:val="yellow"/>
        </w:rPr>
        <w:t>、</w:t>
      </w:r>
      <w:r w:rsidR="00992950" w:rsidRPr="00AC4723">
        <w:rPr>
          <w:highlight w:val="yellow"/>
        </w:rPr>
        <w:t>38</w:t>
      </w:r>
      <w:r w:rsidR="00992950" w:rsidRPr="00AC4723">
        <w:rPr>
          <w:rFonts w:ascii="宋体" w:eastAsia="宋体" w:hAnsi="宋体" w:cs="宋体" w:hint="eastAsia"/>
          <w:highlight w:val="yellow"/>
        </w:rPr>
        <w:t>），可以与其他使用的标准</w:t>
      </w:r>
      <w:r w:rsidR="00992950" w:rsidRPr="00AC4723">
        <w:rPr>
          <w:highlight w:val="yellow"/>
        </w:rPr>
        <w:t>F1-F5</w:t>
      </w:r>
      <w:r w:rsidR="00992950" w:rsidRPr="00AC4723">
        <w:rPr>
          <w:rFonts w:ascii="宋体" w:eastAsia="宋体" w:hAnsi="宋体" w:cs="宋体" w:hint="eastAsia"/>
          <w:highlight w:val="yellow"/>
        </w:rPr>
        <w:t>因子一起使用</w:t>
      </w:r>
      <w:r w:rsidR="00992950">
        <w:rPr>
          <w:rFonts w:ascii="宋体" w:eastAsia="宋体" w:hAnsi="宋体" w:cs="宋体" w:hint="eastAsia"/>
        </w:rPr>
        <w:t>。应根据具体情况使用该因素，例如预期会发生但尚未观察到或评估过的某种毒性。例如</w:t>
      </w:r>
      <w:r w:rsidR="00992950" w:rsidRPr="00AC4723">
        <w:rPr>
          <w:rFonts w:ascii="宋体" w:eastAsia="宋体" w:hAnsi="宋体" w:cs="宋体" w:hint="eastAsia"/>
          <w:highlight w:val="yellow"/>
        </w:rPr>
        <w:t>，考虑一种根据其作用机理判断为可能致</w:t>
      </w:r>
      <w:proofErr w:type="gramStart"/>
      <w:r w:rsidR="00992950" w:rsidRPr="00AC4723">
        <w:rPr>
          <w:rFonts w:ascii="宋体" w:eastAsia="宋体" w:hAnsi="宋体" w:cs="宋体" w:hint="eastAsia"/>
          <w:highlight w:val="yellow"/>
        </w:rPr>
        <w:t>畸</w:t>
      </w:r>
      <w:proofErr w:type="gramEnd"/>
      <w:r w:rsidR="00992950" w:rsidRPr="00AC4723">
        <w:rPr>
          <w:rFonts w:ascii="宋体" w:eastAsia="宋体" w:hAnsi="宋体" w:cs="宋体" w:hint="eastAsia"/>
          <w:highlight w:val="yellow"/>
        </w:rPr>
        <w:t>的研究药物，但尚无胚胎胎儿毒性数据。数据库完整性因子的范围为</w:t>
      </w:r>
      <w:r w:rsidR="00992950" w:rsidRPr="00AC4723">
        <w:rPr>
          <w:highlight w:val="yellow"/>
        </w:rPr>
        <w:t>1–10</w:t>
      </w:r>
      <w:r w:rsidR="00992950" w:rsidRPr="00AC4723">
        <w:rPr>
          <w:rFonts w:ascii="宋体" w:eastAsia="宋体" w:hAnsi="宋体" w:cs="宋体" w:hint="eastAsia"/>
          <w:highlight w:val="yellow"/>
        </w:rPr>
        <w:t>，具体取决于该化合物现有数据的置信度。</w:t>
      </w:r>
    </w:p>
    <w:p w14:paraId="482A9FE9" w14:textId="77777777" w:rsidR="00992950" w:rsidRPr="00412682" w:rsidRDefault="00992950" w:rsidP="00992950">
      <w:pPr>
        <w:ind w:left="-15"/>
      </w:pPr>
      <w:r>
        <w:t>5.9.6.2</w:t>
      </w:r>
      <w:r>
        <w:rPr>
          <w:rFonts w:ascii="宋体" w:eastAsia="宋体" w:hAnsi="宋体" w:cs="宋体" w:hint="eastAsia"/>
        </w:rPr>
        <w:t>如果由于数据集的限制而存在高度不确定性</w:t>
      </w:r>
      <w:r w:rsidRPr="00412682">
        <w:rPr>
          <w:rFonts w:ascii="宋体" w:eastAsia="宋体" w:hAnsi="宋体" w:cs="宋体" w:hint="eastAsia"/>
        </w:rPr>
        <w:t>，则根据毒理学关注阈值推导</w:t>
      </w:r>
      <w:r w:rsidRPr="00412682">
        <w:t>HBEL</w:t>
      </w:r>
      <w:r w:rsidRPr="00412682">
        <w:rPr>
          <w:rFonts w:ascii="宋体" w:eastAsia="宋体" w:hAnsi="宋体" w:cs="宋体" w:hint="eastAsia"/>
        </w:rPr>
        <w:t>可能更相关，如第</w:t>
      </w:r>
      <w:r w:rsidRPr="00412682">
        <w:t>6</w:t>
      </w:r>
      <w:r w:rsidRPr="00412682">
        <w:rPr>
          <w:rFonts w:ascii="宋体" w:eastAsia="宋体" w:hAnsi="宋体" w:cs="宋体" w:hint="eastAsia"/>
        </w:rPr>
        <w:t>节所述。</w:t>
      </w:r>
    </w:p>
    <w:p w14:paraId="62EF769D" w14:textId="26458AB5" w:rsidR="0026097E" w:rsidRPr="00412682" w:rsidRDefault="00992950" w:rsidP="00992950">
      <w:pPr>
        <w:ind w:left="-15"/>
      </w:pPr>
      <w:r w:rsidRPr="00412682">
        <w:t>5.9.6.3</w:t>
      </w:r>
      <w:r w:rsidRPr="00412682">
        <w:rPr>
          <w:rFonts w:ascii="宋体" w:eastAsia="宋体" w:hAnsi="宋体" w:cs="宋体" w:hint="eastAsia"/>
        </w:rPr>
        <w:t>在评估仿制药时，潜在的挑战是它们可能无法向评估者提供完整的数据集。但是，通常有很长的使用历史，并且在处方信息中明确定义了药物的风险，因此，一般药物通常不需要数据库完整性或修改因素</w:t>
      </w:r>
      <w:r w:rsidR="00284695" w:rsidRPr="00412682">
        <w:t>.</w:t>
      </w:r>
    </w:p>
    <w:p w14:paraId="17A63DAE" w14:textId="75E9FC8D" w:rsidR="0026097E" w:rsidRPr="00412682" w:rsidRDefault="00284695">
      <w:pPr>
        <w:pStyle w:val="2"/>
        <w:ind w:left="-5"/>
      </w:pPr>
      <w:r w:rsidRPr="00412682">
        <w:t>6.</w:t>
      </w:r>
      <w:r w:rsidR="00992950" w:rsidRPr="00412682">
        <w:t xml:space="preserve"> HBEL</w:t>
      </w:r>
      <w:r w:rsidR="00992950" w:rsidRPr="00412682">
        <w:rPr>
          <w:rFonts w:ascii="宋体" w:eastAsia="宋体" w:hAnsi="宋体" w:cs="宋体" w:hint="eastAsia"/>
        </w:rPr>
        <w:t>的计算</w:t>
      </w:r>
    </w:p>
    <w:p w14:paraId="5F98EB1D" w14:textId="17B34730" w:rsidR="0026097E" w:rsidRPr="00412682" w:rsidRDefault="00284695">
      <w:pPr>
        <w:spacing w:after="71" w:line="248" w:lineRule="auto"/>
        <w:ind w:left="185" w:hanging="10"/>
      </w:pPr>
      <w:r w:rsidRPr="00412682">
        <w:t xml:space="preserve">6.1 </w:t>
      </w:r>
      <w:r w:rsidR="00992950" w:rsidRPr="00412682">
        <w:rPr>
          <w:rFonts w:ascii="宋体" w:eastAsia="宋体" w:hAnsi="宋体" w:cs="宋体" w:hint="eastAsia"/>
        </w:rPr>
        <w:t>计算</w:t>
      </w:r>
      <w:r w:rsidR="00992950" w:rsidRPr="00412682">
        <w:t>HBEL</w:t>
      </w:r>
      <w:r w:rsidR="00992950" w:rsidRPr="00412682">
        <w:rPr>
          <w:rFonts w:ascii="宋体" w:eastAsia="宋体" w:hAnsi="宋体" w:cs="宋体" w:hint="eastAsia"/>
        </w:rPr>
        <w:t>的公式</w:t>
      </w:r>
      <w:r w:rsidRPr="00412682">
        <w:t>:</w:t>
      </w:r>
    </w:p>
    <w:p w14:paraId="0880AC80" w14:textId="77777777" w:rsidR="0026097E" w:rsidRPr="00412682" w:rsidRDefault="00284695">
      <w:pPr>
        <w:spacing w:after="0" w:line="259" w:lineRule="auto"/>
        <w:ind w:left="728" w:right="785" w:hanging="10"/>
        <w:jc w:val="center"/>
      </w:pPr>
      <w:proofErr w:type="spellStart"/>
      <w:r w:rsidRPr="00412682">
        <w:rPr>
          <w:sz w:val="17"/>
        </w:rPr>
        <w:t>PoD</w:t>
      </w:r>
      <w:proofErr w:type="spellEnd"/>
      <w:r w:rsidRPr="00412682">
        <w:rPr>
          <w:sz w:val="17"/>
        </w:rPr>
        <w:t>*BW</w:t>
      </w:r>
    </w:p>
    <w:p w14:paraId="4B6672BB" w14:textId="69D62E46" w:rsidR="0026097E" w:rsidRPr="00412682" w:rsidRDefault="00284695">
      <w:pPr>
        <w:tabs>
          <w:tab w:val="center" w:pos="1632"/>
          <w:tab w:val="center" w:pos="2850"/>
          <w:tab w:val="right" w:pos="5030"/>
        </w:tabs>
        <w:spacing w:after="3" w:line="259" w:lineRule="auto"/>
        <w:ind w:right="-1" w:firstLine="0"/>
        <w:jc w:val="left"/>
      </w:pPr>
      <w:r w:rsidRPr="00412682">
        <w:rPr>
          <w:rFonts w:ascii="Calibri" w:eastAsia="Calibri" w:hAnsi="Calibri" w:cs="Calibri"/>
          <w:color w:val="000000"/>
          <w:sz w:val="22"/>
        </w:rPr>
        <w:tab/>
      </w:r>
      <w:r w:rsidRPr="00412682">
        <w:rPr>
          <w:sz w:val="17"/>
        </w:rPr>
        <w:t xml:space="preserve">HBEL </w:t>
      </w:r>
      <w:r w:rsidR="00992950" w:rsidRPr="00412682">
        <w:rPr>
          <w:rFonts w:asciiTheme="minorEastAsia" w:eastAsiaTheme="minorEastAsia" w:hAnsiTheme="minorEastAsia" w:cs="Univers" w:hint="eastAsia"/>
          <w:sz w:val="17"/>
        </w:rPr>
        <w:t>=</w:t>
      </w:r>
      <w:r w:rsidRPr="00412682">
        <w:rPr>
          <w:rFonts w:ascii="Univers" w:eastAsia="Univers" w:hAnsi="Univers" w:cs="Univers"/>
          <w:sz w:val="17"/>
        </w:rPr>
        <w:tab/>
      </w:r>
      <w:r w:rsidRPr="00412682">
        <w:rPr>
          <w:rFonts w:ascii="Calibri" w:eastAsia="Calibri" w:hAnsi="Calibri" w:cs="Calibri"/>
          <w:noProof/>
          <w:color w:val="000000"/>
          <w:sz w:val="22"/>
        </w:rPr>
        <mc:AlternateContent>
          <mc:Choice Requires="wpg">
            <w:drawing>
              <wp:inline distT="0" distB="0" distL="0" distR="0" wp14:anchorId="209C27A6" wp14:editId="21A9CE98">
                <wp:extent cx="617804" cy="3810"/>
                <wp:effectExtent l="0" t="0" r="0" b="0"/>
                <wp:docPr id="61057" name="Group 61057"/>
                <wp:cNvGraphicFramePr/>
                <a:graphic xmlns:a="http://schemas.openxmlformats.org/drawingml/2006/main">
                  <a:graphicData uri="http://schemas.microsoft.com/office/word/2010/wordprocessingGroup">
                    <wpg:wgp>
                      <wpg:cNvGrpSpPr/>
                      <wpg:grpSpPr>
                        <a:xfrm>
                          <a:off x="0" y="0"/>
                          <a:ext cx="617804" cy="3810"/>
                          <a:chOff x="0" y="0"/>
                          <a:chExt cx="617804" cy="3810"/>
                        </a:xfrm>
                      </wpg:grpSpPr>
                      <wps:wsp>
                        <wps:cNvPr id="3137" name="Shape 3137"/>
                        <wps:cNvSpPr/>
                        <wps:spPr>
                          <a:xfrm>
                            <a:off x="0" y="0"/>
                            <a:ext cx="617804" cy="0"/>
                          </a:xfrm>
                          <a:custGeom>
                            <a:avLst/>
                            <a:gdLst/>
                            <a:ahLst/>
                            <a:cxnLst/>
                            <a:rect l="0" t="0" r="0" b="0"/>
                            <a:pathLst>
                              <a:path w="617804">
                                <a:moveTo>
                                  <a:pt x="0" y="0"/>
                                </a:moveTo>
                                <a:lnTo>
                                  <a:pt x="617804" y="0"/>
                                </a:lnTo>
                              </a:path>
                            </a:pathLst>
                          </a:custGeom>
                          <a:ln w="3810"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1057" style="width:48.646pt;height:0.3pt;mso-position-horizontal-relative:char;mso-position-vertical-relative:line" coordsize="6178,38">
                <v:shape id="Shape 3137" style="position:absolute;width:6178;height:0;left:0;top:0;" coordsize="617804,0" path="m0,0l617804,0">
                  <v:stroke weight="0.3pt" endcap="flat" joinstyle="miter" miterlimit="10" on="true" color="#221f1f"/>
                  <v:fill on="false" color="#000000" opacity="0"/>
                </v:shape>
              </v:group>
            </w:pict>
          </mc:Fallback>
        </mc:AlternateContent>
      </w:r>
      <w:r w:rsidR="00992950" w:rsidRPr="00412682">
        <w:rPr>
          <w:rFonts w:asciiTheme="minorEastAsia" w:eastAsiaTheme="minorEastAsia" w:hAnsiTheme="minorEastAsia" w:cs="Univers" w:hint="eastAsia"/>
          <w:sz w:val="17"/>
        </w:rPr>
        <w:t>=</w:t>
      </w:r>
      <w:r w:rsidRPr="00412682">
        <w:rPr>
          <w:rFonts w:ascii="Univers" w:eastAsia="Univers" w:hAnsi="Univers" w:cs="Univers"/>
          <w:sz w:val="17"/>
        </w:rPr>
        <w:t xml:space="preserve"> </w:t>
      </w:r>
      <w:r w:rsidRPr="00412682">
        <w:rPr>
          <w:sz w:val="17"/>
        </w:rPr>
        <w:t>mg/day</w:t>
      </w:r>
      <w:r w:rsidRPr="00412682">
        <w:rPr>
          <w:sz w:val="17"/>
        </w:rPr>
        <w:tab/>
        <w:t>(11)</w:t>
      </w:r>
    </w:p>
    <w:p w14:paraId="344C4DAC" w14:textId="77777777" w:rsidR="0026097E" w:rsidRPr="00412682" w:rsidRDefault="00284695">
      <w:pPr>
        <w:spacing w:after="0" w:line="259" w:lineRule="auto"/>
        <w:ind w:left="728" w:right="798" w:hanging="10"/>
        <w:jc w:val="center"/>
      </w:pPr>
      <w:r w:rsidRPr="00412682">
        <w:rPr>
          <w:sz w:val="17"/>
        </w:rPr>
        <w:t xml:space="preserve">F </w:t>
      </w:r>
      <w:r w:rsidRPr="00412682">
        <w:rPr>
          <w:sz w:val="16"/>
          <w:vertAlign w:val="subscript"/>
        </w:rPr>
        <w:t>T</w:t>
      </w:r>
      <w:r w:rsidRPr="00412682">
        <w:rPr>
          <w:sz w:val="17"/>
        </w:rPr>
        <w:t>*PK-AF*α</w:t>
      </w:r>
    </w:p>
    <w:tbl>
      <w:tblPr>
        <w:tblStyle w:val="TableGrid"/>
        <w:tblW w:w="5171" w:type="dxa"/>
        <w:tblInd w:w="-142" w:type="dxa"/>
        <w:tblLayout w:type="fixed"/>
        <w:tblLook w:val="04A0" w:firstRow="1" w:lastRow="0" w:firstColumn="1" w:lastColumn="0" w:noHBand="0" w:noVBand="1"/>
      </w:tblPr>
      <w:tblGrid>
        <w:gridCol w:w="709"/>
        <w:gridCol w:w="4462"/>
      </w:tblGrid>
      <w:tr w:rsidR="0026097E" w:rsidRPr="00412682" w14:paraId="629874D0" w14:textId="77777777" w:rsidTr="00992950">
        <w:trPr>
          <w:trHeight w:val="701"/>
        </w:trPr>
        <w:tc>
          <w:tcPr>
            <w:tcW w:w="709" w:type="dxa"/>
            <w:tcBorders>
              <w:top w:val="nil"/>
              <w:left w:val="nil"/>
              <w:bottom w:val="nil"/>
              <w:right w:val="nil"/>
            </w:tcBorders>
          </w:tcPr>
          <w:p w14:paraId="08B9D269" w14:textId="77777777" w:rsidR="0026097E" w:rsidRPr="00412682" w:rsidRDefault="00284695">
            <w:pPr>
              <w:spacing w:after="0" w:line="259" w:lineRule="auto"/>
              <w:ind w:firstLine="0"/>
              <w:jc w:val="left"/>
            </w:pPr>
            <w:proofErr w:type="spellStart"/>
            <w:r w:rsidRPr="00412682">
              <w:t>PoD</w:t>
            </w:r>
            <w:proofErr w:type="spellEnd"/>
          </w:p>
        </w:tc>
        <w:tc>
          <w:tcPr>
            <w:tcW w:w="4462" w:type="dxa"/>
            <w:tcBorders>
              <w:top w:val="nil"/>
              <w:left w:val="nil"/>
              <w:bottom w:val="nil"/>
              <w:right w:val="nil"/>
            </w:tcBorders>
          </w:tcPr>
          <w:p w14:paraId="5BC9AA55" w14:textId="57F355A3" w:rsidR="0026097E" w:rsidRPr="00412682" w:rsidRDefault="00284695">
            <w:pPr>
              <w:spacing w:after="0" w:line="259" w:lineRule="auto"/>
              <w:ind w:left="236" w:hanging="236"/>
            </w:pPr>
            <w:r w:rsidRPr="00412682">
              <w:t>=</w:t>
            </w:r>
            <w:r w:rsidR="00992950" w:rsidRPr="00412682">
              <w:rPr>
                <w:rFonts w:ascii="宋体" w:eastAsia="宋体" w:hAnsi="宋体" w:cs="宋体" w:hint="eastAsia"/>
              </w:rPr>
              <w:t>出发点（</w:t>
            </w:r>
            <w:proofErr w:type="gramStart"/>
            <w:r w:rsidR="00992950" w:rsidRPr="00412682">
              <w:rPr>
                <w:rFonts w:ascii="宋体" w:eastAsia="宋体" w:hAnsi="宋体" w:cs="宋体" w:hint="eastAsia"/>
              </w:rPr>
              <w:t>毫克</w:t>
            </w:r>
            <w:r w:rsidR="00992950" w:rsidRPr="00412682">
              <w:t>/</w:t>
            </w:r>
            <w:r w:rsidR="00992950" w:rsidRPr="00412682">
              <w:rPr>
                <w:rFonts w:ascii="宋体" w:eastAsia="宋体" w:hAnsi="宋体" w:cs="宋体" w:hint="eastAsia"/>
              </w:rPr>
              <w:t>千克</w:t>
            </w:r>
            <w:r w:rsidR="00992950" w:rsidRPr="00412682">
              <w:t>/</w:t>
            </w:r>
            <w:proofErr w:type="gramEnd"/>
            <w:r w:rsidR="00992950" w:rsidRPr="00412682">
              <w:rPr>
                <w:rFonts w:ascii="宋体" w:eastAsia="宋体" w:hAnsi="宋体" w:cs="宋体" w:hint="eastAsia"/>
              </w:rPr>
              <w:t>天）；</w:t>
            </w:r>
            <w:r w:rsidR="00992950" w:rsidRPr="00412682">
              <w:t xml:space="preserve"> </w:t>
            </w:r>
            <w:r w:rsidR="00992950" w:rsidRPr="00412682">
              <w:rPr>
                <w:rFonts w:ascii="宋体" w:eastAsia="宋体" w:hAnsi="宋体" w:cs="宋体" w:hint="eastAsia"/>
              </w:rPr>
              <w:t>如果以</w:t>
            </w:r>
            <w:proofErr w:type="gramStart"/>
            <w:r w:rsidR="00992950" w:rsidRPr="00412682">
              <w:rPr>
                <w:rFonts w:ascii="宋体" w:eastAsia="宋体" w:hAnsi="宋体" w:cs="宋体" w:hint="eastAsia"/>
              </w:rPr>
              <w:t>毫克</w:t>
            </w:r>
            <w:r w:rsidR="00992950" w:rsidRPr="00412682">
              <w:t>/</w:t>
            </w:r>
            <w:proofErr w:type="gramEnd"/>
            <w:r w:rsidR="00992950" w:rsidRPr="00412682">
              <w:rPr>
                <w:rFonts w:ascii="宋体" w:eastAsia="宋体" w:hAnsi="宋体" w:cs="宋体" w:hint="eastAsia"/>
              </w:rPr>
              <w:t>天为单位的剂量用作</w:t>
            </w:r>
            <w:proofErr w:type="spellStart"/>
            <w:r w:rsidR="00992950" w:rsidRPr="00412682">
              <w:t>PoD</w:t>
            </w:r>
            <w:proofErr w:type="spellEnd"/>
            <w:r w:rsidR="00992950" w:rsidRPr="00412682">
              <w:rPr>
                <w:rFonts w:ascii="宋体" w:eastAsia="宋体" w:hAnsi="宋体" w:cs="宋体" w:hint="eastAsia"/>
              </w:rPr>
              <w:t>，则不需要</w:t>
            </w:r>
            <w:r w:rsidR="00992950" w:rsidRPr="00412682">
              <w:t>BW</w:t>
            </w:r>
            <w:r w:rsidR="00992950" w:rsidRPr="00412682">
              <w:rPr>
                <w:rFonts w:ascii="宋体" w:eastAsia="宋体" w:hAnsi="宋体" w:cs="宋体" w:hint="eastAsia"/>
              </w:rPr>
              <w:t>因子</w:t>
            </w:r>
            <w:r w:rsidRPr="00412682">
              <w:t>;</w:t>
            </w:r>
          </w:p>
        </w:tc>
      </w:tr>
      <w:tr w:rsidR="0026097E" w:rsidRPr="00412682" w14:paraId="5CE8333B" w14:textId="77777777" w:rsidTr="008E2B3B">
        <w:trPr>
          <w:trHeight w:val="501"/>
        </w:trPr>
        <w:tc>
          <w:tcPr>
            <w:tcW w:w="709" w:type="dxa"/>
            <w:tcBorders>
              <w:top w:val="nil"/>
              <w:left w:val="nil"/>
              <w:bottom w:val="nil"/>
              <w:right w:val="nil"/>
            </w:tcBorders>
          </w:tcPr>
          <w:p w14:paraId="0DC64C06" w14:textId="77777777" w:rsidR="0026097E" w:rsidRPr="00412682" w:rsidRDefault="00284695">
            <w:pPr>
              <w:spacing w:after="0" w:line="259" w:lineRule="auto"/>
              <w:ind w:firstLine="0"/>
              <w:jc w:val="left"/>
            </w:pPr>
            <w:r w:rsidRPr="00412682">
              <w:t>BW</w:t>
            </w:r>
          </w:p>
        </w:tc>
        <w:tc>
          <w:tcPr>
            <w:tcW w:w="4462" w:type="dxa"/>
            <w:tcBorders>
              <w:top w:val="nil"/>
              <w:left w:val="nil"/>
              <w:bottom w:val="nil"/>
              <w:right w:val="nil"/>
            </w:tcBorders>
          </w:tcPr>
          <w:p w14:paraId="0B5F2A58" w14:textId="615B4469" w:rsidR="0026097E" w:rsidRPr="00412682" w:rsidRDefault="00284695">
            <w:pPr>
              <w:spacing w:after="0" w:line="259" w:lineRule="auto"/>
              <w:ind w:left="236" w:hanging="236"/>
            </w:pPr>
            <w:r w:rsidRPr="00412682">
              <w:t>=</w:t>
            </w:r>
            <w:r w:rsidR="00992950" w:rsidRPr="00412682">
              <w:rPr>
                <w:rFonts w:ascii="宋体" w:eastAsia="宋体" w:hAnsi="宋体" w:cs="宋体" w:hint="eastAsia"/>
              </w:rPr>
              <w:t>体重，公斤；</w:t>
            </w:r>
            <w:r w:rsidR="00992950" w:rsidRPr="00412682">
              <w:t xml:space="preserve"> </w:t>
            </w:r>
            <w:r w:rsidR="00992950" w:rsidRPr="00412682">
              <w:rPr>
                <w:rFonts w:ascii="宋体" w:eastAsia="宋体" w:hAnsi="宋体" w:cs="宋体" w:hint="eastAsia"/>
              </w:rPr>
              <w:t>对于标准人，假定体重为</w:t>
            </w:r>
            <w:r w:rsidR="00992950" w:rsidRPr="00412682">
              <w:t>50</w:t>
            </w:r>
            <w:r w:rsidR="00992950" w:rsidRPr="00412682">
              <w:rPr>
                <w:rFonts w:ascii="宋体" w:eastAsia="宋体" w:hAnsi="宋体" w:cs="宋体" w:hint="eastAsia"/>
              </w:rPr>
              <w:t>公斤，但是可以针对特定人群（例如，儿科）进行调整</w:t>
            </w:r>
          </w:p>
        </w:tc>
      </w:tr>
      <w:tr w:rsidR="0026097E" w:rsidRPr="00412682" w14:paraId="17C6AC23" w14:textId="77777777" w:rsidTr="00992950">
        <w:trPr>
          <w:trHeight w:val="215"/>
        </w:trPr>
        <w:tc>
          <w:tcPr>
            <w:tcW w:w="709" w:type="dxa"/>
            <w:tcBorders>
              <w:top w:val="nil"/>
              <w:left w:val="nil"/>
              <w:bottom w:val="nil"/>
              <w:right w:val="nil"/>
            </w:tcBorders>
          </w:tcPr>
          <w:p w14:paraId="5302404A" w14:textId="77777777" w:rsidR="0026097E" w:rsidRPr="00412682" w:rsidRDefault="00284695">
            <w:pPr>
              <w:spacing w:after="0" w:line="259" w:lineRule="auto"/>
              <w:ind w:firstLine="0"/>
              <w:jc w:val="left"/>
            </w:pPr>
            <w:r w:rsidRPr="00412682">
              <w:t>α</w:t>
            </w:r>
          </w:p>
        </w:tc>
        <w:tc>
          <w:tcPr>
            <w:tcW w:w="4462" w:type="dxa"/>
            <w:tcBorders>
              <w:top w:val="nil"/>
              <w:left w:val="nil"/>
              <w:bottom w:val="nil"/>
              <w:right w:val="nil"/>
            </w:tcBorders>
          </w:tcPr>
          <w:p w14:paraId="18693944" w14:textId="057CCC13" w:rsidR="0026097E" w:rsidRPr="00412682" w:rsidRDefault="00284695">
            <w:pPr>
              <w:spacing w:after="0" w:line="259" w:lineRule="auto"/>
              <w:ind w:firstLine="0"/>
              <w:jc w:val="left"/>
            </w:pPr>
            <w:r w:rsidRPr="00412682">
              <w:t>=</w:t>
            </w:r>
            <w:r w:rsidR="00992950" w:rsidRPr="00412682">
              <w:rPr>
                <w:rFonts w:ascii="宋体" w:eastAsia="宋体" w:hAnsi="宋体" w:cs="宋体" w:hint="eastAsia"/>
              </w:rPr>
              <w:t>暴露途径的生物利用度</w:t>
            </w:r>
            <w:r w:rsidRPr="00412682">
              <w:t>;</w:t>
            </w:r>
          </w:p>
        </w:tc>
      </w:tr>
      <w:tr w:rsidR="0026097E" w:rsidRPr="00412682" w14:paraId="200F6CCD" w14:textId="77777777" w:rsidTr="00992950">
        <w:trPr>
          <w:trHeight w:val="214"/>
        </w:trPr>
        <w:tc>
          <w:tcPr>
            <w:tcW w:w="709" w:type="dxa"/>
            <w:tcBorders>
              <w:top w:val="nil"/>
              <w:left w:val="nil"/>
              <w:bottom w:val="nil"/>
              <w:right w:val="nil"/>
            </w:tcBorders>
          </w:tcPr>
          <w:p w14:paraId="3BC68AAA" w14:textId="77777777" w:rsidR="0026097E" w:rsidRPr="00412682" w:rsidRDefault="00284695">
            <w:pPr>
              <w:spacing w:after="0" w:line="259" w:lineRule="auto"/>
              <w:ind w:firstLine="0"/>
              <w:jc w:val="left"/>
            </w:pPr>
            <w:r w:rsidRPr="00412682">
              <w:t>PK-AF</w:t>
            </w:r>
          </w:p>
        </w:tc>
        <w:tc>
          <w:tcPr>
            <w:tcW w:w="4462" w:type="dxa"/>
            <w:tcBorders>
              <w:top w:val="nil"/>
              <w:left w:val="nil"/>
              <w:bottom w:val="nil"/>
              <w:right w:val="nil"/>
            </w:tcBorders>
          </w:tcPr>
          <w:p w14:paraId="4AC26E54" w14:textId="45519D50" w:rsidR="0026097E" w:rsidRPr="00412682" w:rsidRDefault="00284695">
            <w:pPr>
              <w:spacing w:after="0" w:line="259" w:lineRule="auto"/>
              <w:ind w:firstLine="0"/>
              <w:jc w:val="left"/>
            </w:pPr>
            <w:r w:rsidRPr="00412682">
              <w:t xml:space="preserve">= </w:t>
            </w:r>
            <w:r w:rsidR="00992950" w:rsidRPr="00412682">
              <w:rPr>
                <w:rFonts w:ascii="宋体" w:eastAsia="宋体" w:hAnsi="宋体" w:cs="宋体" w:hint="eastAsia"/>
              </w:rPr>
              <w:t>积累因子</w:t>
            </w:r>
          </w:p>
        </w:tc>
      </w:tr>
      <w:tr w:rsidR="0026097E" w:rsidRPr="00412682" w14:paraId="3B1544D1" w14:textId="77777777" w:rsidTr="00412682">
        <w:trPr>
          <w:trHeight w:val="682"/>
        </w:trPr>
        <w:tc>
          <w:tcPr>
            <w:tcW w:w="709" w:type="dxa"/>
            <w:tcBorders>
              <w:top w:val="nil"/>
              <w:left w:val="nil"/>
              <w:bottom w:val="nil"/>
              <w:right w:val="nil"/>
            </w:tcBorders>
          </w:tcPr>
          <w:p w14:paraId="0ACDB79D" w14:textId="77777777" w:rsidR="0026097E" w:rsidRPr="00412682" w:rsidRDefault="00284695">
            <w:pPr>
              <w:spacing w:after="0" w:line="259" w:lineRule="auto"/>
              <w:ind w:firstLine="0"/>
              <w:jc w:val="left"/>
            </w:pPr>
            <w:r w:rsidRPr="00412682">
              <w:t>F</w:t>
            </w:r>
            <w:r w:rsidRPr="00412682">
              <w:rPr>
                <w:vertAlign w:val="subscript"/>
              </w:rPr>
              <w:t>T</w:t>
            </w:r>
          </w:p>
        </w:tc>
        <w:tc>
          <w:tcPr>
            <w:tcW w:w="4462" w:type="dxa"/>
            <w:tcBorders>
              <w:top w:val="nil"/>
              <w:left w:val="nil"/>
              <w:bottom w:val="nil"/>
              <w:right w:val="nil"/>
            </w:tcBorders>
          </w:tcPr>
          <w:p w14:paraId="3F06E6BC" w14:textId="3D143910" w:rsidR="00992950" w:rsidRPr="00412682" w:rsidRDefault="00284695" w:rsidP="00992950">
            <w:pPr>
              <w:shd w:val="clear" w:color="auto" w:fill="F5F5F5"/>
              <w:spacing w:after="0" w:line="240" w:lineRule="auto"/>
              <w:ind w:firstLine="0"/>
              <w:jc w:val="left"/>
              <w:rPr>
                <w:rFonts w:ascii="Arial" w:eastAsia="宋体" w:hAnsi="Arial" w:cs="Arial"/>
                <w:color w:val="777777"/>
                <w:kern w:val="0"/>
                <w:sz w:val="24"/>
                <w:szCs w:val="24"/>
              </w:rPr>
            </w:pPr>
            <w:r w:rsidRPr="00412682">
              <w:t>=</w:t>
            </w:r>
            <w:r w:rsidR="00992950" w:rsidRPr="00412682">
              <w:rPr>
                <w:rFonts w:ascii="Arial" w:eastAsia="宋体" w:hAnsi="Arial" w:cs="Arial" w:hint="eastAsia"/>
                <w:color w:val="777777"/>
                <w:kern w:val="0"/>
                <w:sz w:val="18"/>
                <w:szCs w:val="18"/>
              </w:rPr>
              <w:t>复合调整因子</w:t>
            </w:r>
            <w:r w:rsidR="00992950" w:rsidRPr="00412682">
              <w:rPr>
                <w:rFonts w:ascii="Arial" w:eastAsia="宋体" w:hAnsi="Arial" w:cs="Arial"/>
                <w:color w:val="777777"/>
                <w:kern w:val="0"/>
                <w:sz w:val="18"/>
                <w:szCs w:val="18"/>
              </w:rPr>
              <w:t xml:space="preserve">= F1×F2×F3×F4×F5; </w:t>
            </w:r>
            <w:r w:rsidR="00992950" w:rsidRPr="00412682">
              <w:rPr>
                <w:rFonts w:ascii="Arial" w:eastAsia="宋体" w:hAnsi="Arial" w:cs="Arial" w:hint="eastAsia"/>
                <w:color w:val="777777"/>
                <w:kern w:val="0"/>
                <w:sz w:val="18"/>
                <w:szCs w:val="18"/>
              </w:rPr>
              <w:t>请注意，这不包括数据库不确定性因子或</w:t>
            </w:r>
            <w:r w:rsidR="00992950" w:rsidRPr="00412682">
              <w:rPr>
                <w:rFonts w:ascii="Arial" w:eastAsia="宋体" w:hAnsi="Arial" w:cs="Arial"/>
                <w:color w:val="777777"/>
                <w:kern w:val="0"/>
                <w:sz w:val="18"/>
                <w:szCs w:val="18"/>
              </w:rPr>
              <w:t>MF</w:t>
            </w:r>
            <w:r w:rsidR="00992950" w:rsidRPr="00412682">
              <w:rPr>
                <w:rFonts w:ascii="Arial" w:eastAsia="宋体" w:hAnsi="Arial" w:cs="Arial" w:hint="eastAsia"/>
                <w:color w:val="777777"/>
                <w:kern w:val="0"/>
                <w:sz w:val="18"/>
                <w:szCs w:val="18"/>
              </w:rPr>
              <w:t>，可以根据具体情况进行添加</w:t>
            </w:r>
          </w:p>
          <w:p w14:paraId="1109ABEC" w14:textId="1DE1F496" w:rsidR="0026097E" w:rsidRPr="00412682" w:rsidRDefault="0026097E">
            <w:pPr>
              <w:spacing w:after="0" w:line="259" w:lineRule="auto"/>
              <w:ind w:left="236" w:hanging="236"/>
            </w:pPr>
          </w:p>
        </w:tc>
      </w:tr>
    </w:tbl>
    <w:p w14:paraId="39FDD5BA" w14:textId="5F143457" w:rsidR="0026097E" w:rsidRPr="00412682" w:rsidRDefault="00284695">
      <w:pPr>
        <w:pStyle w:val="2"/>
        <w:ind w:left="-5"/>
      </w:pPr>
      <w:r w:rsidRPr="00412682">
        <w:t xml:space="preserve">7. </w:t>
      </w:r>
      <w:r w:rsidR="00992950" w:rsidRPr="00412682">
        <w:rPr>
          <w:rFonts w:ascii="宋体" w:eastAsia="宋体" w:hAnsi="宋体" w:cs="宋体" w:hint="eastAsia"/>
        </w:rPr>
        <w:t>具有高度不确定性的不完整数据集</w:t>
      </w:r>
    </w:p>
    <w:p w14:paraId="20EE7EB1" w14:textId="77777777" w:rsidR="00992950" w:rsidRPr="00412682" w:rsidRDefault="00284695" w:rsidP="00992950">
      <w:pPr>
        <w:spacing w:after="94"/>
        <w:ind w:left="-15"/>
      </w:pPr>
      <w:r w:rsidRPr="00412682">
        <w:t xml:space="preserve">7.1 </w:t>
      </w:r>
      <w:r w:rsidR="00992950" w:rsidRPr="00412682">
        <w:rPr>
          <w:rFonts w:ascii="宋体" w:eastAsia="宋体" w:hAnsi="宋体" w:cs="宋体" w:hint="eastAsia"/>
        </w:rPr>
        <w:t>不完整的数据集意味着较大的固有不确定性。例如，在早期临床试验中，正在研究的新药的数据有限，因为随着分子的发展，临床和非临床安全性和功效概况数据正在积累。随着研究药物的不断发展，人们普遍希望随着更多数据的获得，复合</w:t>
      </w:r>
      <w:r w:rsidR="00992950" w:rsidRPr="00412682">
        <w:t>AFs</w:t>
      </w:r>
      <w:r w:rsidR="00992950" w:rsidRPr="00412682">
        <w:rPr>
          <w:rFonts w:ascii="宋体" w:eastAsia="宋体" w:hAnsi="宋体" w:cs="宋体" w:hint="eastAsia"/>
        </w:rPr>
        <w:t>可能会减少，而</w:t>
      </w:r>
      <w:r w:rsidR="00992950" w:rsidRPr="00412682">
        <w:t>HBELs</w:t>
      </w:r>
      <w:r w:rsidR="00992950" w:rsidRPr="00412682">
        <w:rPr>
          <w:rFonts w:ascii="宋体" w:eastAsia="宋体" w:hAnsi="宋体" w:cs="宋体" w:hint="eastAsia"/>
        </w:rPr>
        <w:t>随着不确定性的降低而增加。实际上，在早期开发中，应该特别注意为特定的不确定性分配一次</w:t>
      </w:r>
      <w:r w:rsidR="00992950" w:rsidRPr="00412682">
        <w:t>AF</w:t>
      </w:r>
      <w:r w:rsidR="00992950" w:rsidRPr="00412682">
        <w:rPr>
          <w:rFonts w:ascii="宋体" w:eastAsia="宋体" w:hAnsi="宋体" w:cs="宋体" w:hint="eastAsia"/>
        </w:rPr>
        <w:t>，以使相同的不确定性不会被多次考虑。当由于缺乏数据和缺乏概念上的理解（例如，低剂量的新作用机制）而导致较大的不确定性时，可以采用专家判断来确定务实而保守的</w:t>
      </w:r>
      <w:r w:rsidR="00992950" w:rsidRPr="00412682">
        <w:t>HBEL</w:t>
      </w:r>
      <w:r w:rsidR="00992950" w:rsidRPr="00412682">
        <w:rPr>
          <w:rFonts w:ascii="宋体" w:eastAsia="宋体" w:hAnsi="宋体" w:cs="宋体" w:hint="eastAsia"/>
        </w:rPr>
        <w:t>（</w:t>
      </w:r>
      <w:r w:rsidR="00992950" w:rsidRPr="00412682">
        <w:t>106</w:t>
      </w:r>
      <w:r w:rsidR="00992950" w:rsidRPr="00412682">
        <w:rPr>
          <w:rFonts w:ascii="宋体" w:eastAsia="宋体" w:hAnsi="宋体" w:cs="宋体" w:hint="eastAsia"/>
        </w:rPr>
        <w:t>）。</w:t>
      </w:r>
      <w:proofErr w:type="gramStart"/>
      <w:r w:rsidR="00992950" w:rsidRPr="00412682">
        <w:rPr>
          <w:rFonts w:ascii="宋体" w:eastAsia="宋体" w:hAnsi="宋体" w:cs="宋体" w:hint="eastAsia"/>
        </w:rPr>
        <w:t>当应用</w:t>
      </w:r>
      <w:proofErr w:type="gramEnd"/>
      <w:r w:rsidR="00992950" w:rsidRPr="00412682">
        <w:rPr>
          <w:rFonts w:ascii="宋体" w:eastAsia="宋体" w:hAnsi="宋体" w:cs="宋体" w:hint="eastAsia"/>
        </w:rPr>
        <w:t>于任何特定物质的复合因子大于</w:t>
      </w:r>
      <w:r w:rsidR="00992950" w:rsidRPr="00412682">
        <w:t>5000</w:t>
      </w:r>
      <w:r w:rsidR="00992950" w:rsidRPr="00412682">
        <w:rPr>
          <w:rFonts w:ascii="宋体" w:eastAsia="宋体" w:hAnsi="宋体" w:cs="宋体" w:hint="eastAsia"/>
        </w:rPr>
        <w:t>时，</w:t>
      </w:r>
      <w:r w:rsidR="00992950" w:rsidRPr="00412682">
        <w:t>HBEL</w:t>
      </w:r>
      <w:r w:rsidR="00992950" w:rsidRPr="00412682">
        <w:rPr>
          <w:rFonts w:ascii="宋体" w:eastAsia="宋体" w:hAnsi="宋体" w:cs="宋体" w:hint="eastAsia"/>
        </w:rPr>
        <w:t>计算可能被认为不可靠（</w:t>
      </w:r>
      <w:r w:rsidR="00992950" w:rsidRPr="00412682">
        <w:t>107</w:t>
      </w:r>
      <w:r w:rsidR="00992950" w:rsidRPr="00412682">
        <w:rPr>
          <w:rFonts w:ascii="宋体" w:eastAsia="宋体" w:hAnsi="宋体" w:cs="宋体" w:hint="eastAsia"/>
        </w:rPr>
        <w:t>）。在这些情况下，可能有必要使用默认方法进行限制设置。过去已经使用了几种不同的默认方法来建立</w:t>
      </w:r>
      <w:r w:rsidR="00992950" w:rsidRPr="00412682">
        <w:t>HBEL</w:t>
      </w:r>
      <w:r w:rsidR="00992950" w:rsidRPr="00412682">
        <w:rPr>
          <w:rFonts w:ascii="宋体" w:eastAsia="宋体" w:hAnsi="宋体" w:cs="宋体" w:hint="eastAsia"/>
        </w:rPr>
        <w:t>（有关讨论，请参见参考文献（</w:t>
      </w:r>
      <w:r w:rsidR="00992950" w:rsidRPr="00412682">
        <w:t>108</w:t>
      </w:r>
      <w:r w:rsidR="00992950" w:rsidRPr="00412682">
        <w:rPr>
          <w:rFonts w:ascii="宋体" w:eastAsia="宋体" w:hAnsi="宋体" w:cs="宋体" w:hint="eastAsia"/>
        </w:rPr>
        <w:t>））。</w:t>
      </w:r>
    </w:p>
    <w:p w14:paraId="787F1B0C" w14:textId="77777777" w:rsidR="00992950" w:rsidRPr="00412682" w:rsidRDefault="00992950" w:rsidP="00992950">
      <w:pPr>
        <w:spacing w:after="94"/>
        <w:ind w:left="-15"/>
      </w:pPr>
      <w:r w:rsidRPr="00412682">
        <w:t>7.2</w:t>
      </w:r>
      <w:r w:rsidRPr="00412682">
        <w:rPr>
          <w:rFonts w:ascii="宋体" w:eastAsia="宋体" w:hAnsi="宋体" w:cs="宋体" w:hint="eastAsia"/>
        </w:rPr>
        <w:t>毒理学关注阈值（</w:t>
      </w:r>
      <w:r w:rsidRPr="00412682">
        <w:t>TTC</w:t>
      </w:r>
      <w:r w:rsidRPr="00412682">
        <w:rPr>
          <w:rFonts w:ascii="宋体" w:eastAsia="宋体" w:hAnsi="宋体" w:cs="宋体" w:hint="eastAsia"/>
        </w:rPr>
        <w:t>）是一种概念，当所评估的特定化学物质的数据有限但有足够的代表性化合物毒性数据时使用。</w:t>
      </w:r>
      <w:r w:rsidRPr="00412682">
        <w:t xml:space="preserve"> TTC</w:t>
      </w:r>
      <w:r w:rsidRPr="00412682">
        <w:rPr>
          <w:rFonts w:ascii="宋体" w:eastAsia="宋体" w:hAnsi="宋体" w:cs="宋体" w:hint="eastAsia"/>
        </w:rPr>
        <w:t>最初是为支持食品接触物品的毒理学评估而开发的（</w:t>
      </w:r>
      <w:r w:rsidRPr="00412682">
        <w:t>109</w:t>
      </w:r>
      <w:r w:rsidRPr="00412682">
        <w:rPr>
          <w:rFonts w:ascii="宋体" w:eastAsia="宋体" w:hAnsi="宋体" w:cs="宋体" w:hint="eastAsia"/>
        </w:rPr>
        <w:t>）。随后，提出了将其用于评估药物中的遗传毒性杂质的方法（</w:t>
      </w:r>
      <w:r w:rsidRPr="00412682">
        <w:t>110</w:t>
      </w:r>
      <w:r w:rsidRPr="00412682">
        <w:rPr>
          <w:rFonts w:ascii="宋体" w:eastAsia="宋体" w:hAnsi="宋体" w:cs="宋体" w:hint="eastAsia"/>
        </w:rPr>
        <w:t>），这一思想已被药物法规指南</w:t>
      </w:r>
      <w:r w:rsidRPr="00412682">
        <w:t>ICH M7</w:t>
      </w:r>
      <w:r w:rsidRPr="00412682">
        <w:rPr>
          <w:rFonts w:ascii="宋体" w:eastAsia="宋体" w:hAnsi="宋体" w:cs="宋体" w:hint="eastAsia"/>
        </w:rPr>
        <w:t>（</w:t>
      </w:r>
      <w:r w:rsidRPr="00412682">
        <w:t>R1</w:t>
      </w:r>
      <w:r w:rsidRPr="00412682">
        <w:rPr>
          <w:rFonts w:ascii="宋体" w:eastAsia="宋体" w:hAnsi="宋体" w:cs="宋体" w:hint="eastAsia"/>
        </w:rPr>
        <w:t>）采纳。尽管存在局限性（</w:t>
      </w:r>
      <w:r w:rsidRPr="00412682">
        <w:t>24</w:t>
      </w:r>
      <w:r w:rsidRPr="00412682">
        <w:rPr>
          <w:rFonts w:ascii="宋体" w:eastAsia="宋体" w:hAnsi="宋体" w:cs="宋体" w:hint="eastAsia"/>
        </w:rPr>
        <w:t>），</w:t>
      </w:r>
      <w:r w:rsidRPr="00412682">
        <w:t>TTC</w:t>
      </w:r>
      <w:r w:rsidRPr="00412682">
        <w:rPr>
          <w:rFonts w:ascii="宋体" w:eastAsia="宋体" w:hAnsi="宋体" w:cs="宋体" w:hint="eastAsia"/>
        </w:rPr>
        <w:t>概念已扩展到各种不良健康终点和化合物类别（</w:t>
      </w:r>
      <w:r w:rsidRPr="00412682">
        <w:t>106</w:t>
      </w:r>
      <w:r w:rsidRPr="00412682">
        <w:rPr>
          <w:rFonts w:ascii="宋体" w:eastAsia="宋体" w:hAnsi="宋体" w:cs="宋体" w:hint="eastAsia"/>
        </w:rPr>
        <w:t>）。可以基于有限的数据或对该化合物的结构特征或两者的分析来得出单个分子的</w:t>
      </w:r>
      <w:r w:rsidRPr="00412682">
        <w:t>TTC</w:t>
      </w:r>
      <w:r w:rsidRPr="00412682">
        <w:rPr>
          <w:rFonts w:ascii="宋体" w:eastAsia="宋体" w:hAnsi="宋体" w:cs="宋体" w:hint="eastAsia"/>
        </w:rPr>
        <w:t>（见图</w:t>
      </w:r>
      <w:r w:rsidRPr="00412682">
        <w:t>2</w:t>
      </w:r>
      <w:r w:rsidRPr="00412682">
        <w:rPr>
          <w:rFonts w:ascii="宋体" w:eastAsia="宋体" w:hAnsi="宋体" w:cs="宋体" w:hint="eastAsia"/>
        </w:rPr>
        <w:t>）。决定使用适当的</w:t>
      </w:r>
      <w:r w:rsidRPr="00412682">
        <w:t>TTC</w:t>
      </w:r>
      <w:r w:rsidRPr="00412682">
        <w:rPr>
          <w:rFonts w:ascii="宋体" w:eastAsia="宋体" w:hAnsi="宋体" w:cs="宋体" w:hint="eastAsia"/>
        </w:rPr>
        <w:t>应该基于对所有可用数据的科学评估。如果某些特定类别的化学品具有足够的特定物质数据，则不应使用</w:t>
      </w:r>
      <w:r w:rsidRPr="00412682">
        <w:t>TTC</w:t>
      </w:r>
      <w:r w:rsidRPr="00412682">
        <w:rPr>
          <w:rFonts w:ascii="宋体" w:eastAsia="宋体" w:hAnsi="宋体" w:cs="宋体" w:hint="eastAsia"/>
        </w:rPr>
        <w:t>。</w:t>
      </w:r>
    </w:p>
    <w:p w14:paraId="3F3D97E4" w14:textId="77777777" w:rsidR="00992950" w:rsidRPr="00412682" w:rsidRDefault="00992950" w:rsidP="00992950">
      <w:pPr>
        <w:spacing w:after="94"/>
        <w:ind w:left="-15"/>
      </w:pPr>
      <w:r w:rsidRPr="00412682">
        <w:t>5</w:t>
      </w:r>
      <w:r w:rsidRPr="00412682">
        <w:rPr>
          <w:rFonts w:ascii="宋体" w:eastAsia="宋体" w:hAnsi="宋体" w:cs="宋体" w:hint="eastAsia"/>
        </w:rPr>
        <w:t>）。</w:t>
      </w:r>
    </w:p>
    <w:p w14:paraId="5FEF1E44" w14:textId="38F8DB79" w:rsidR="0026097E" w:rsidRPr="00412682" w:rsidRDefault="00992950" w:rsidP="00992950">
      <w:pPr>
        <w:spacing w:after="94"/>
        <w:ind w:left="-15"/>
      </w:pPr>
      <w:r w:rsidRPr="00412682">
        <w:t>7.3 Dolan</w:t>
      </w:r>
      <w:r w:rsidRPr="00412682">
        <w:rPr>
          <w:rFonts w:ascii="宋体" w:eastAsia="宋体" w:hAnsi="宋体" w:cs="宋体" w:hint="eastAsia"/>
        </w:rPr>
        <w:t>等人（</w:t>
      </w:r>
      <w:r w:rsidRPr="00412682">
        <w:t>108</w:t>
      </w:r>
      <w:r w:rsidRPr="00412682">
        <w:rPr>
          <w:rFonts w:ascii="宋体" w:eastAsia="宋体" w:hAnsi="宋体" w:cs="宋体" w:hint="eastAsia"/>
        </w:rPr>
        <w:t>）根据</w:t>
      </w:r>
      <w:proofErr w:type="spellStart"/>
      <w:r w:rsidRPr="00412682">
        <w:t>Kroes</w:t>
      </w:r>
      <w:proofErr w:type="spellEnd"/>
      <w:r w:rsidRPr="00412682">
        <w:rPr>
          <w:rFonts w:ascii="宋体" w:eastAsia="宋体" w:hAnsi="宋体" w:cs="宋体" w:hint="eastAsia"/>
        </w:rPr>
        <w:t>等人（</w:t>
      </w:r>
      <w:r w:rsidRPr="00412682">
        <w:t>111</w:t>
      </w:r>
      <w:r w:rsidRPr="00412682">
        <w:rPr>
          <w:rFonts w:ascii="宋体" w:eastAsia="宋体" w:hAnsi="宋体" w:cs="宋体" w:hint="eastAsia"/>
        </w:rPr>
        <w:t>）和</w:t>
      </w:r>
      <w:r w:rsidRPr="00412682">
        <w:t>Cramer</w:t>
      </w:r>
      <w:r w:rsidRPr="00412682">
        <w:rPr>
          <w:rFonts w:ascii="宋体" w:eastAsia="宋体" w:hAnsi="宋体" w:cs="宋体" w:hint="eastAsia"/>
        </w:rPr>
        <w:t>等人（</w:t>
      </w:r>
      <w:r w:rsidRPr="00412682">
        <w:t>112</w:t>
      </w:r>
      <w:r w:rsidRPr="00412682">
        <w:rPr>
          <w:rFonts w:ascii="宋体" w:eastAsia="宋体" w:hAnsi="宋体" w:cs="宋体" w:hint="eastAsia"/>
        </w:rPr>
        <w:t>）的工作改进了药品的</w:t>
      </w:r>
      <w:r w:rsidRPr="00412682">
        <w:t>TTC</w:t>
      </w:r>
      <w:r w:rsidRPr="00412682">
        <w:rPr>
          <w:rFonts w:ascii="宋体" w:eastAsia="宋体" w:hAnsi="宋体" w:cs="宋体" w:hint="eastAsia"/>
        </w:rPr>
        <w:t>方法，并为药品制造过程中常见的物质设置了以下默认</w:t>
      </w:r>
      <w:r w:rsidRPr="00412682">
        <w:t>HBEL</w:t>
      </w:r>
      <w:r w:rsidRPr="00412682">
        <w:rPr>
          <w:rFonts w:ascii="宋体" w:eastAsia="宋体" w:hAnsi="宋体" w:cs="宋体" w:hint="eastAsia"/>
        </w:rPr>
        <w:t>值</w:t>
      </w:r>
    </w:p>
    <w:p w14:paraId="0449F1E5" w14:textId="77777777" w:rsidR="00992950" w:rsidRPr="00412682" w:rsidRDefault="00284695" w:rsidP="00992950">
      <w:pPr>
        <w:ind w:left="-15"/>
      </w:pPr>
      <w:r w:rsidRPr="00412682">
        <w:t xml:space="preserve">7.3.1 </w:t>
      </w:r>
      <w:r w:rsidR="00992950" w:rsidRPr="00412682">
        <w:rPr>
          <w:rFonts w:ascii="宋体" w:eastAsia="宋体" w:hAnsi="宋体" w:cs="宋体" w:hint="eastAsia"/>
        </w:rPr>
        <w:t>可能致突变和致癌的化合物</w:t>
      </w:r>
      <w:r w:rsidR="00992950" w:rsidRPr="00412682">
        <w:t>-</w:t>
      </w:r>
      <w:r w:rsidR="00992950" w:rsidRPr="00412682">
        <w:rPr>
          <w:rFonts w:ascii="宋体" w:eastAsia="宋体" w:hAnsi="宋体" w:cs="宋体" w:hint="eastAsia"/>
        </w:rPr>
        <w:t>推荐的</w:t>
      </w:r>
      <w:r w:rsidR="00992950" w:rsidRPr="00412682">
        <w:t>HBEL</w:t>
      </w:r>
      <w:r w:rsidR="00992950" w:rsidRPr="00412682">
        <w:rPr>
          <w:rFonts w:ascii="宋体" w:eastAsia="宋体" w:hAnsi="宋体" w:cs="宋体" w:hint="eastAsia"/>
        </w:rPr>
        <w:t>为</w:t>
      </w:r>
      <w:r w:rsidR="00992950" w:rsidRPr="00412682">
        <w:t>1.5 µg /</w:t>
      </w:r>
      <w:r w:rsidR="00992950" w:rsidRPr="00412682">
        <w:rPr>
          <w:rFonts w:ascii="宋体" w:eastAsia="宋体" w:hAnsi="宋体" w:cs="宋体" w:hint="eastAsia"/>
        </w:rPr>
        <w:t>天，符合</w:t>
      </w:r>
      <w:r w:rsidR="00992950" w:rsidRPr="00412682">
        <w:t>ICH M7</w:t>
      </w:r>
      <w:r w:rsidR="00992950" w:rsidRPr="00412682">
        <w:rPr>
          <w:rFonts w:ascii="宋体" w:eastAsia="宋体" w:hAnsi="宋体" w:cs="宋体" w:hint="eastAsia"/>
        </w:rPr>
        <w:t>（</w:t>
      </w:r>
      <w:r w:rsidR="00992950" w:rsidRPr="00412682">
        <w:t>R1</w:t>
      </w:r>
      <w:r w:rsidR="00992950" w:rsidRPr="00412682">
        <w:rPr>
          <w:rFonts w:ascii="宋体" w:eastAsia="宋体" w:hAnsi="宋体" w:cs="宋体" w:hint="eastAsia"/>
        </w:rPr>
        <w:t>）指南。</w:t>
      </w:r>
    </w:p>
    <w:p w14:paraId="23D18CB9" w14:textId="77777777" w:rsidR="00992950" w:rsidRPr="00412682" w:rsidRDefault="00992950" w:rsidP="00992950">
      <w:pPr>
        <w:ind w:left="-15"/>
      </w:pPr>
      <w:r w:rsidRPr="00412682">
        <w:t>7.3.2</w:t>
      </w:r>
      <w:r w:rsidRPr="00412682">
        <w:rPr>
          <w:rFonts w:ascii="宋体" w:eastAsia="宋体" w:hAnsi="宋体" w:cs="宋体" w:hint="eastAsia"/>
        </w:rPr>
        <w:t>可能是强毒或</w:t>
      </w:r>
      <w:proofErr w:type="gramStart"/>
      <w:r w:rsidRPr="00412682">
        <w:rPr>
          <w:rFonts w:ascii="宋体" w:eastAsia="宋体" w:hAnsi="宋体" w:cs="宋体" w:hint="eastAsia"/>
        </w:rPr>
        <w:t>高毒但不会</w:t>
      </w:r>
      <w:proofErr w:type="gramEnd"/>
      <w:r w:rsidRPr="00412682">
        <w:rPr>
          <w:rFonts w:ascii="宋体" w:eastAsia="宋体" w:hAnsi="宋体" w:cs="宋体" w:hint="eastAsia"/>
        </w:rPr>
        <w:t>诱变或致癌的化合物</w:t>
      </w:r>
      <w:r w:rsidRPr="00412682">
        <w:t>-</w:t>
      </w:r>
      <w:r w:rsidRPr="00412682">
        <w:rPr>
          <w:rFonts w:ascii="宋体" w:eastAsia="宋体" w:hAnsi="宋体" w:cs="宋体" w:hint="eastAsia"/>
        </w:rPr>
        <w:t>对于相对未研究的化合物，建议的</w:t>
      </w:r>
      <w:r w:rsidRPr="00412682">
        <w:t>HBEL</w:t>
      </w:r>
      <w:r w:rsidRPr="00412682">
        <w:rPr>
          <w:rFonts w:ascii="宋体" w:eastAsia="宋体" w:hAnsi="宋体" w:cs="宋体" w:hint="eastAsia"/>
        </w:rPr>
        <w:t>为</w:t>
      </w:r>
      <w:r w:rsidRPr="00412682">
        <w:t>10 µg /</w:t>
      </w:r>
      <w:r w:rsidRPr="00412682">
        <w:rPr>
          <w:rFonts w:ascii="宋体" w:eastAsia="宋体" w:hAnsi="宋体" w:cs="宋体" w:hint="eastAsia"/>
        </w:rPr>
        <w:t>天，数据有限，表明它们可能以非常低的剂量产生药理或毒性作用。</w:t>
      </w:r>
    </w:p>
    <w:p w14:paraId="6F9C80DC" w14:textId="39106754" w:rsidR="0026097E" w:rsidRPr="00412682" w:rsidRDefault="00992950" w:rsidP="00992950">
      <w:pPr>
        <w:ind w:left="-15"/>
      </w:pPr>
      <w:r w:rsidRPr="00412682">
        <w:t>7.3.3</w:t>
      </w:r>
      <w:r w:rsidRPr="00412682">
        <w:rPr>
          <w:rFonts w:ascii="宋体" w:eastAsia="宋体" w:hAnsi="宋体" w:cs="宋体" w:hint="eastAsia"/>
        </w:rPr>
        <w:t>不太可能具有高毒性，高毒性或致癌性的化合物</w:t>
      </w:r>
      <w:proofErr w:type="gramStart"/>
      <w:r w:rsidRPr="00412682">
        <w:t>—</w:t>
      </w:r>
      <w:r w:rsidRPr="00412682">
        <w:rPr>
          <w:rFonts w:ascii="宋体" w:eastAsia="宋体" w:hAnsi="宋体" w:cs="宋体" w:hint="eastAsia"/>
        </w:rPr>
        <w:t>对于</w:t>
      </w:r>
      <w:proofErr w:type="gramEnd"/>
      <w:r w:rsidRPr="00412682">
        <w:rPr>
          <w:rFonts w:ascii="宋体" w:eastAsia="宋体" w:hAnsi="宋体" w:cs="宋体" w:hint="eastAsia"/>
        </w:rPr>
        <w:t>没有经过先验的有异常效力或毒性且不被认为具有致突变性的相对未被研究的化合物，建议</w:t>
      </w:r>
      <w:r w:rsidRPr="00412682">
        <w:t>HBEL</w:t>
      </w:r>
      <w:r w:rsidRPr="00412682">
        <w:rPr>
          <w:rFonts w:ascii="宋体" w:eastAsia="宋体" w:hAnsi="宋体" w:cs="宋体" w:hint="eastAsia"/>
        </w:rPr>
        <w:t>为</w:t>
      </w:r>
      <w:r w:rsidRPr="00412682">
        <w:t>100 µg /</w:t>
      </w:r>
      <w:r w:rsidRPr="00412682">
        <w:rPr>
          <w:rFonts w:ascii="宋体" w:eastAsia="宋体" w:hAnsi="宋体" w:cs="宋体" w:hint="eastAsia"/>
        </w:rPr>
        <w:t>天</w:t>
      </w:r>
      <w:r w:rsidR="00284695" w:rsidRPr="00412682">
        <w:t>.</w:t>
      </w:r>
    </w:p>
    <w:p w14:paraId="620875A6" w14:textId="3BE93BCC" w:rsidR="0026097E" w:rsidRDefault="00284695">
      <w:pPr>
        <w:spacing w:after="174"/>
        <w:ind w:left="-15"/>
      </w:pPr>
      <w:r>
        <w:t xml:space="preserve">7.4 </w:t>
      </w:r>
      <w:r w:rsidR="00992950" w:rsidRPr="00992950">
        <w:rPr>
          <w:rFonts w:ascii="宋体" w:eastAsia="宋体" w:hAnsi="宋体" w:cs="宋体" w:hint="eastAsia"/>
        </w:rPr>
        <w:t>已经做出努力以将</w:t>
      </w:r>
      <w:r w:rsidR="00992950" w:rsidRPr="00992950">
        <w:t>TTC</w:t>
      </w:r>
      <w:r w:rsidR="00992950" w:rsidRPr="00992950">
        <w:rPr>
          <w:rFonts w:ascii="宋体" w:eastAsia="宋体" w:hAnsi="宋体" w:cs="宋体" w:hint="eastAsia"/>
        </w:rPr>
        <w:t>概念推广到某些类别的药物。</w:t>
      </w:r>
      <w:r w:rsidR="00992950" w:rsidRPr="00992950">
        <w:t xml:space="preserve"> </w:t>
      </w:r>
      <w:r w:rsidR="00992950" w:rsidRPr="00992950">
        <w:rPr>
          <w:rFonts w:ascii="宋体" w:eastAsia="宋体" w:hAnsi="宋体" w:cs="宋体" w:hint="eastAsia"/>
        </w:rPr>
        <w:t>例如，</w:t>
      </w:r>
      <w:proofErr w:type="spellStart"/>
      <w:r w:rsidR="00992950" w:rsidRPr="00992950">
        <w:t>Stanard</w:t>
      </w:r>
      <w:proofErr w:type="spellEnd"/>
      <w:r w:rsidR="00992950" w:rsidRPr="00992950">
        <w:rPr>
          <w:rFonts w:ascii="宋体" w:eastAsia="宋体" w:hAnsi="宋体" w:cs="宋体" w:hint="eastAsia"/>
        </w:rPr>
        <w:t>等。</w:t>
      </w:r>
      <w:r w:rsidR="00992950" w:rsidRPr="00992950">
        <w:t xml:space="preserve"> </w:t>
      </w:r>
      <w:r w:rsidR="00992950" w:rsidRPr="00992950">
        <w:rPr>
          <w:rFonts w:ascii="宋体" w:eastAsia="宋体" w:hAnsi="宋体" w:cs="宋体" w:hint="eastAsia"/>
        </w:rPr>
        <w:t>（</w:t>
      </w:r>
      <w:r w:rsidR="00992950" w:rsidRPr="00992950">
        <w:t>113</w:t>
      </w:r>
      <w:r w:rsidR="00992950" w:rsidRPr="00992950">
        <w:rPr>
          <w:rFonts w:ascii="宋体" w:eastAsia="宋体" w:hAnsi="宋体" w:cs="宋体" w:hint="eastAsia"/>
        </w:rPr>
        <w:t>）开发了</w:t>
      </w:r>
      <w:r w:rsidR="00992950" w:rsidRPr="00992950">
        <w:t>1 µg /</w:t>
      </w:r>
      <w:r w:rsidR="00992950" w:rsidRPr="00992950">
        <w:rPr>
          <w:rFonts w:ascii="宋体" w:eastAsia="宋体" w:hAnsi="宋体" w:cs="宋体" w:hint="eastAsia"/>
        </w:rPr>
        <w:t>天的</w:t>
      </w:r>
      <w:r w:rsidR="00992950" w:rsidRPr="00992950">
        <w:t>TTC</w:t>
      </w:r>
      <w:r w:rsidR="00992950" w:rsidRPr="00992950">
        <w:rPr>
          <w:rFonts w:ascii="宋体" w:eastAsia="宋体" w:hAnsi="宋体" w:cs="宋体" w:hint="eastAsia"/>
        </w:rPr>
        <w:t>用于抗癌化合物，这些化合物是发育性毒物。</w:t>
      </w:r>
      <w:r w:rsidR="00992950" w:rsidRPr="00992950">
        <w:t xml:space="preserve"> </w:t>
      </w:r>
      <w:r w:rsidR="00992950" w:rsidRPr="00992950">
        <w:rPr>
          <w:rFonts w:ascii="宋体" w:eastAsia="宋体" w:hAnsi="宋体" w:cs="宋体" w:hint="eastAsia"/>
        </w:rPr>
        <w:t>在应用默认概念之前，评估者必须确保用于推导默认值的毒理学数据库适合于指定化合物（</w:t>
      </w:r>
      <w:r w:rsidR="00992950" w:rsidRPr="00992950">
        <w:t>106</w:t>
      </w:r>
      <w:r w:rsidR="00992950" w:rsidRPr="00992950">
        <w:rPr>
          <w:rFonts w:ascii="宋体" w:eastAsia="宋体" w:hAnsi="宋体" w:cs="宋体" w:hint="eastAsia"/>
        </w:rPr>
        <w:t>）。</w:t>
      </w:r>
      <w:r w:rsidR="00992950" w:rsidRPr="00992950">
        <w:t xml:space="preserve"> </w:t>
      </w:r>
      <w:r w:rsidR="00992950" w:rsidRPr="00992950">
        <w:rPr>
          <w:rFonts w:ascii="宋体" w:eastAsia="宋体" w:hAnsi="宋体" w:cs="宋体" w:hint="eastAsia"/>
        </w:rPr>
        <w:t>例如，尚未为生物制剂开发</w:t>
      </w:r>
      <w:r w:rsidR="00992950" w:rsidRPr="00992950">
        <w:t>TTC</w:t>
      </w:r>
      <w:r w:rsidR="00992950" w:rsidRPr="00992950">
        <w:rPr>
          <w:rFonts w:ascii="宋体" w:eastAsia="宋体" w:hAnsi="宋体" w:cs="宋体" w:hint="eastAsia"/>
        </w:rPr>
        <w:t>（图</w:t>
      </w:r>
      <w:r w:rsidR="00992950" w:rsidRPr="00992950">
        <w:t>3</w:t>
      </w:r>
      <w:r w:rsidR="00992950" w:rsidRPr="00992950">
        <w:rPr>
          <w:rFonts w:ascii="宋体" w:eastAsia="宋体" w:hAnsi="宋体" w:cs="宋体" w:hint="eastAsia"/>
        </w:rPr>
        <w:t>）</w:t>
      </w:r>
      <w:r w:rsidR="00992950">
        <w:rPr>
          <w:rFonts w:ascii="宋体" w:eastAsia="宋体" w:hAnsi="宋体" w:cs="宋体" w:hint="eastAsia"/>
        </w:rPr>
        <w:t>。</w:t>
      </w:r>
    </w:p>
    <w:p w14:paraId="799659B6" w14:textId="201724F0" w:rsidR="0026097E" w:rsidRDefault="00284695">
      <w:pPr>
        <w:pStyle w:val="2"/>
        <w:ind w:left="-5"/>
      </w:pPr>
      <w:r>
        <w:lastRenderedPageBreak/>
        <w:t>8.</w:t>
      </w:r>
      <w:r w:rsidR="00992950" w:rsidRPr="00992950">
        <w:rPr>
          <w:rFonts w:hint="eastAsia"/>
        </w:rPr>
        <w:t xml:space="preserve"> </w:t>
      </w:r>
      <w:r w:rsidR="00992950" w:rsidRPr="00992950">
        <w:rPr>
          <w:rFonts w:ascii="宋体" w:eastAsia="宋体" w:hAnsi="宋体" w:cs="宋体" w:hint="eastAsia"/>
        </w:rPr>
        <w:t>接触途径</w:t>
      </w:r>
    </w:p>
    <w:tbl>
      <w:tblPr>
        <w:tblStyle w:val="TableGrid"/>
        <w:tblpPr w:vertAnchor="text" w:horzAnchor="margin" w:tblpY="3166"/>
        <w:tblOverlap w:val="never"/>
        <w:tblW w:w="10490" w:type="dxa"/>
        <w:tblInd w:w="0" w:type="dxa"/>
        <w:tblLayout w:type="fixed"/>
        <w:tblCellMar>
          <w:left w:w="2057" w:type="dxa"/>
          <w:right w:w="2053" w:type="dxa"/>
        </w:tblCellMar>
        <w:tblLook w:val="04A0" w:firstRow="1" w:lastRow="0" w:firstColumn="1" w:lastColumn="0" w:noHBand="0" w:noVBand="1"/>
      </w:tblPr>
      <w:tblGrid>
        <w:gridCol w:w="10490"/>
      </w:tblGrid>
      <w:tr w:rsidR="0026097E" w14:paraId="5175DDCB" w14:textId="77777777" w:rsidTr="00AC4723">
        <w:trPr>
          <w:trHeight w:val="148"/>
        </w:trPr>
        <w:tc>
          <w:tcPr>
            <w:tcW w:w="10490" w:type="dxa"/>
            <w:tcBorders>
              <w:top w:val="nil"/>
              <w:left w:val="nil"/>
              <w:bottom w:val="nil"/>
              <w:right w:val="nil"/>
            </w:tcBorders>
            <w:vAlign w:val="bottom"/>
          </w:tcPr>
          <w:p w14:paraId="17FC975A" w14:textId="3086F51C" w:rsidR="0026097E" w:rsidRDefault="0074743A">
            <w:pPr>
              <w:spacing w:after="90" w:line="259" w:lineRule="auto"/>
              <w:ind w:firstLine="0"/>
              <w:jc w:val="left"/>
            </w:pPr>
            <w:r>
              <w:rPr>
                <w:noProof/>
              </w:rPr>
              <w:t xml:space="preserve">  </w:t>
            </w:r>
            <w:r w:rsidR="00AC4723">
              <w:rPr>
                <w:noProof/>
              </w:rPr>
              <w:drawing>
                <wp:inline distT="0" distB="0" distL="0" distR="0" wp14:anchorId="4476061E" wp14:editId="7ED589A8">
                  <wp:extent cx="4942857" cy="429523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42857" cy="4295238"/>
                          </a:xfrm>
                          <a:prstGeom prst="rect">
                            <a:avLst/>
                          </a:prstGeom>
                        </pic:spPr>
                      </pic:pic>
                    </a:graphicData>
                  </a:graphic>
                </wp:inline>
              </w:drawing>
            </w:r>
          </w:p>
          <w:p w14:paraId="50471177" w14:textId="5085D043" w:rsidR="0026097E" w:rsidRDefault="00BF0BE8">
            <w:pPr>
              <w:spacing w:after="0" w:line="259" w:lineRule="auto"/>
              <w:ind w:left="347" w:firstLine="0"/>
            </w:pPr>
            <w:r>
              <w:rPr>
                <w:rFonts w:ascii="宋体" w:eastAsia="宋体" w:hAnsi="宋体" w:cs="宋体" w:hint="eastAsia"/>
                <w:b/>
                <w:sz w:val="16"/>
              </w:rPr>
              <w:t>图3</w:t>
            </w:r>
            <w:r w:rsidR="00284695">
              <w:rPr>
                <w:rFonts w:ascii="Arial" w:eastAsia="Arial" w:hAnsi="Arial" w:cs="Arial"/>
                <w:b/>
                <w:sz w:val="16"/>
              </w:rPr>
              <w:t xml:space="preserve"> </w:t>
            </w:r>
            <w:r>
              <w:t xml:space="preserve"> </w:t>
            </w:r>
            <w:r w:rsidRPr="00BF0BE8">
              <w:rPr>
                <w:rFonts w:ascii="Arial" w:eastAsia="Arial" w:hAnsi="Arial" w:cs="Arial"/>
                <w:b/>
                <w:sz w:val="16"/>
              </w:rPr>
              <w:t>TTC</w:t>
            </w:r>
            <w:r w:rsidRPr="00BF0BE8">
              <w:rPr>
                <w:rFonts w:ascii="宋体" w:eastAsia="宋体" w:hAnsi="宋体" w:cs="宋体" w:hint="eastAsia"/>
                <w:b/>
                <w:sz w:val="16"/>
              </w:rPr>
              <w:t>概念用于数据集有限的小分子</w:t>
            </w:r>
          </w:p>
        </w:tc>
      </w:tr>
    </w:tbl>
    <w:p w14:paraId="31CA8D3D" w14:textId="651706CB" w:rsidR="0026097E" w:rsidRDefault="00284695">
      <w:pPr>
        <w:spacing w:after="164"/>
        <w:ind w:left="-15"/>
      </w:pPr>
      <w:r>
        <w:t xml:space="preserve">8.1 </w:t>
      </w:r>
      <w:r w:rsidR="00BF0BE8" w:rsidRPr="00BF0BE8">
        <w:rPr>
          <w:rFonts w:ascii="宋体" w:eastAsia="宋体" w:hAnsi="宋体" w:cs="宋体" w:hint="eastAsia"/>
        </w:rPr>
        <w:t>前一个产品的</w:t>
      </w:r>
      <w:r w:rsidR="00BF0BE8" w:rsidRPr="00BF0BE8">
        <w:t>HBEL</w:t>
      </w:r>
      <w:r w:rsidR="00BF0BE8" w:rsidRPr="00BF0BE8">
        <w:rPr>
          <w:rFonts w:ascii="宋体" w:eastAsia="宋体" w:hAnsi="宋体" w:cs="宋体" w:hint="eastAsia"/>
        </w:rPr>
        <w:t>，批次大小和下一个产品的最大日剂量（</w:t>
      </w:r>
      <w:proofErr w:type="spellStart"/>
      <w:r w:rsidR="00BF0BE8" w:rsidRPr="00BF0BE8">
        <w:t>MaxDD</w:t>
      </w:r>
      <w:proofErr w:type="spellEnd"/>
      <w:r w:rsidR="00BF0BE8" w:rsidRPr="00BF0BE8">
        <w:rPr>
          <w:rFonts w:ascii="宋体" w:eastAsia="宋体" w:hAnsi="宋体" w:cs="宋体" w:hint="eastAsia"/>
        </w:rPr>
        <w:t>）用于计算前一个产品的最大安全残留量（请参阅指南</w:t>
      </w:r>
      <w:r w:rsidR="00BF0BE8" w:rsidRPr="00BF0BE8">
        <w:t>F3127</w:t>
      </w:r>
      <w:r w:rsidR="00BF0BE8" w:rsidRPr="00BF0BE8">
        <w:rPr>
          <w:rFonts w:ascii="宋体" w:eastAsia="宋体" w:hAnsi="宋体" w:cs="宋体" w:hint="eastAsia"/>
        </w:rPr>
        <w:t>）。在这种情况下，重要的是考虑药物的给药途径。通常，默认情况下会计算至少两种给药途径：口服和静脉（</w:t>
      </w:r>
      <w:r w:rsidR="00BF0BE8" w:rsidRPr="00BF0BE8">
        <w:t>IV</w:t>
      </w:r>
      <w:r w:rsidR="00BF0BE8" w:rsidRPr="00BF0BE8">
        <w:rPr>
          <w:rFonts w:ascii="宋体" w:eastAsia="宋体" w:hAnsi="宋体" w:cs="宋体" w:hint="eastAsia"/>
        </w:rPr>
        <w:t>）</w:t>
      </w:r>
      <w:r w:rsidR="00BF0BE8" w:rsidRPr="00BF0BE8">
        <w:t>HBEL</w:t>
      </w:r>
      <w:r w:rsidR="00BF0BE8" w:rsidRPr="00BF0BE8">
        <w:rPr>
          <w:rFonts w:ascii="宋体" w:eastAsia="宋体" w:hAnsi="宋体" w:cs="宋体" w:hint="eastAsia"/>
        </w:rPr>
        <w:t>。如果要通过口服或静脉注射以外的方式使用下一种产品，则需要考虑如何计算替代途径的</w:t>
      </w:r>
      <w:r w:rsidR="00BF0BE8" w:rsidRPr="00BF0BE8">
        <w:t>HBEL</w:t>
      </w:r>
      <w:r w:rsidR="00BF0BE8" w:rsidRPr="00BF0BE8">
        <w:rPr>
          <w:rFonts w:ascii="宋体" w:eastAsia="宋体" w:hAnsi="宋体" w:cs="宋体" w:hint="eastAsia"/>
        </w:rPr>
        <w:t>。作为预防原则，</w:t>
      </w:r>
      <w:r w:rsidR="00BF0BE8" w:rsidRPr="00BF0BE8">
        <w:t>HBEL IV</w:t>
      </w:r>
      <w:r w:rsidR="00BF0BE8" w:rsidRPr="00BF0BE8">
        <w:rPr>
          <w:rFonts w:ascii="宋体" w:eastAsia="宋体" w:hAnsi="宋体" w:cs="宋体" w:hint="eastAsia"/>
        </w:rPr>
        <w:t>也可用于肌肉内，皮内和皮下给药，而局部给药则需要额外考虑。文献中提供了有关局部眼用药物（</w:t>
      </w:r>
      <w:r w:rsidR="00BF0BE8" w:rsidRPr="00BF0BE8">
        <w:t>114</w:t>
      </w:r>
      <w:r w:rsidR="00BF0BE8" w:rsidRPr="00BF0BE8">
        <w:rPr>
          <w:rFonts w:ascii="宋体" w:eastAsia="宋体" w:hAnsi="宋体" w:cs="宋体" w:hint="eastAsia"/>
        </w:rPr>
        <w:t>、</w:t>
      </w:r>
      <w:r w:rsidR="00BF0BE8" w:rsidRPr="00BF0BE8">
        <w:t>115</w:t>
      </w:r>
      <w:r w:rsidR="00BF0BE8" w:rsidRPr="00BF0BE8">
        <w:rPr>
          <w:rFonts w:ascii="宋体" w:eastAsia="宋体" w:hAnsi="宋体" w:cs="宋体" w:hint="eastAsia"/>
        </w:rPr>
        <w:t>），</w:t>
      </w:r>
      <w:proofErr w:type="gramStart"/>
      <w:r w:rsidR="00BF0BE8" w:rsidRPr="00BF0BE8">
        <w:rPr>
          <w:rFonts w:ascii="宋体" w:eastAsia="宋体" w:hAnsi="宋体" w:cs="宋体" w:hint="eastAsia"/>
        </w:rPr>
        <w:t>局部耳用药物</w:t>
      </w:r>
      <w:proofErr w:type="gramEnd"/>
      <w:r w:rsidR="00BF0BE8" w:rsidRPr="00BF0BE8">
        <w:rPr>
          <w:rFonts w:ascii="宋体" w:eastAsia="宋体" w:hAnsi="宋体" w:cs="宋体" w:hint="eastAsia"/>
        </w:rPr>
        <w:t>（</w:t>
      </w:r>
      <w:r w:rsidR="00BF0BE8" w:rsidRPr="00BF0BE8">
        <w:t>116</w:t>
      </w:r>
      <w:r w:rsidR="00BF0BE8" w:rsidRPr="00BF0BE8">
        <w:rPr>
          <w:rFonts w:ascii="宋体" w:eastAsia="宋体" w:hAnsi="宋体" w:cs="宋体" w:hint="eastAsia"/>
        </w:rPr>
        <w:t>）和局部皮肤药物（</w:t>
      </w:r>
      <w:r w:rsidR="00BF0BE8" w:rsidRPr="00BF0BE8">
        <w:t>117</w:t>
      </w:r>
      <w:r w:rsidR="00BF0BE8" w:rsidRPr="00BF0BE8">
        <w:rPr>
          <w:rFonts w:ascii="宋体" w:eastAsia="宋体" w:hAnsi="宋体" w:cs="宋体" w:hint="eastAsia"/>
        </w:rPr>
        <w:t>）的一些指导。在图</w:t>
      </w:r>
      <w:r w:rsidR="00BF0BE8" w:rsidRPr="00BF0BE8">
        <w:t>4</w:t>
      </w:r>
      <w:r w:rsidR="00BF0BE8" w:rsidRPr="00BF0BE8">
        <w:rPr>
          <w:rFonts w:ascii="宋体" w:eastAsia="宋体" w:hAnsi="宋体" w:cs="宋体" w:hint="eastAsia"/>
        </w:rPr>
        <w:t>中找到了特定于路线的眼图示例。一些文献中提供了鼻内和口腔吸入应用的指南，可以根据与职业接触限值（</w:t>
      </w:r>
      <w:r w:rsidR="00BF0BE8" w:rsidRPr="00BF0BE8">
        <w:t>OEL</w:t>
      </w:r>
      <w:r w:rsidR="00BF0BE8" w:rsidRPr="00BF0BE8">
        <w:rPr>
          <w:rFonts w:ascii="宋体" w:eastAsia="宋体" w:hAnsi="宋体" w:cs="宋体" w:hint="eastAsia"/>
        </w:rPr>
        <w:t>）相同的原理进行操作</w:t>
      </w:r>
      <w:r>
        <w:t xml:space="preserve"> </w:t>
      </w:r>
      <w:r>
        <w:rPr>
          <w:b/>
        </w:rPr>
        <w:t>(</w:t>
      </w:r>
      <w:r>
        <w:rPr>
          <w:b/>
          <w:color w:val="C1151A"/>
        </w:rPr>
        <w:t>118</w:t>
      </w:r>
      <w:r>
        <w:rPr>
          <w:b/>
        </w:rPr>
        <w:t>)</w:t>
      </w:r>
      <w:r>
        <w:t>.</w:t>
      </w:r>
    </w:p>
    <w:p w14:paraId="4299247E" w14:textId="1C9A6221" w:rsidR="0026097E" w:rsidRDefault="00284695">
      <w:pPr>
        <w:pStyle w:val="2"/>
        <w:ind w:left="-5"/>
      </w:pPr>
      <w:r>
        <w:t xml:space="preserve">9. </w:t>
      </w:r>
      <w:r w:rsidR="00BF0BE8" w:rsidRPr="00BF0BE8">
        <w:rPr>
          <w:rFonts w:ascii="宋体" w:eastAsia="宋体" w:hAnsi="宋体" w:cs="宋体" w:hint="eastAsia"/>
        </w:rPr>
        <w:t>后续产品</w:t>
      </w:r>
      <w:r w:rsidR="00BF0BE8" w:rsidRPr="00BF0BE8">
        <w:t>HBEL</w:t>
      </w:r>
    </w:p>
    <w:p w14:paraId="0819CC9E" w14:textId="0DEF33B8" w:rsidR="0026097E" w:rsidRDefault="00284695">
      <w:pPr>
        <w:spacing w:after="232"/>
        <w:ind w:left="-15"/>
      </w:pPr>
      <w:r>
        <w:t xml:space="preserve">9.1 </w:t>
      </w:r>
      <w:r w:rsidR="00BF0BE8" w:rsidRPr="00BF0BE8">
        <w:rPr>
          <w:rFonts w:ascii="宋体" w:eastAsia="宋体" w:hAnsi="宋体" w:cs="宋体" w:hint="eastAsia"/>
        </w:rPr>
        <w:t>第</w:t>
      </w:r>
      <w:r w:rsidR="00BF0BE8" w:rsidRPr="00BF0BE8">
        <w:t>8</w:t>
      </w:r>
      <w:r w:rsidR="00BF0BE8" w:rsidRPr="00BF0BE8">
        <w:rPr>
          <w:rFonts w:ascii="宋体" w:eastAsia="宋体" w:hAnsi="宋体" w:cs="宋体" w:hint="eastAsia"/>
        </w:rPr>
        <w:t>节中定义的</w:t>
      </w:r>
      <w:r w:rsidR="00BF0BE8" w:rsidRPr="00BF0BE8">
        <w:t>HBEL</w:t>
      </w:r>
      <w:r w:rsidR="00BF0BE8" w:rsidRPr="00BF0BE8">
        <w:rPr>
          <w:rFonts w:ascii="宋体" w:eastAsia="宋体" w:hAnsi="宋体" w:cs="宋体" w:hint="eastAsia"/>
        </w:rPr>
        <w:t>假定原料药</w:t>
      </w:r>
      <w:r w:rsidR="00BF0BE8" w:rsidRPr="00BF0BE8">
        <w:t>A</w:t>
      </w:r>
      <w:r w:rsidR="00BF0BE8" w:rsidRPr="00BF0BE8">
        <w:rPr>
          <w:rFonts w:ascii="宋体" w:eastAsia="宋体" w:hAnsi="宋体" w:cs="宋体" w:hint="eastAsia"/>
        </w:rPr>
        <w:t>在任何原料药</w:t>
      </w:r>
      <w:r w:rsidR="00BF0BE8" w:rsidRPr="00BF0BE8">
        <w:t>B</w:t>
      </w:r>
      <w:r w:rsidR="00BF0BE8" w:rsidRPr="00BF0BE8">
        <w:rPr>
          <w:rFonts w:ascii="宋体" w:eastAsia="宋体" w:hAnsi="宋体" w:cs="宋体" w:hint="eastAsia"/>
        </w:rPr>
        <w:t>中都可能是残留物。但是，有时知道原料药</w:t>
      </w:r>
      <w:r w:rsidR="00BF0BE8" w:rsidRPr="00BF0BE8">
        <w:t>B</w:t>
      </w:r>
      <w:r w:rsidR="00BF0BE8" w:rsidRPr="00BF0BE8">
        <w:rPr>
          <w:rFonts w:ascii="宋体" w:eastAsia="宋体" w:hAnsi="宋体" w:cs="宋体" w:hint="eastAsia"/>
        </w:rPr>
        <w:t>并不能证明可以实现</w:t>
      </w:r>
      <w:r w:rsidR="00BF0BE8" w:rsidRPr="00BF0BE8">
        <w:t>HBEL</w:t>
      </w:r>
      <w:r w:rsidR="00BF0BE8" w:rsidRPr="00BF0BE8">
        <w:rPr>
          <w:rFonts w:ascii="宋体" w:eastAsia="宋体" w:hAnsi="宋体" w:cs="宋体" w:hint="eastAsia"/>
        </w:rPr>
        <w:t>；可以导出后续乘积</w:t>
      </w:r>
      <w:r w:rsidR="00BF0BE8" w:rsidRPr="00BF0BE8">
        <w:t>HBEL</w:t>
      </w:r>
      <w:r w:rsidR="00BF0BE8" w:rsidRPr="00BF0BE8">
        <w:rPr>
          <w:rFonts w:ascii="宋体" w:eastAsia="宋体" w:hAnsi="宋体" w:cs="宋体" w:hint="eastAsia"/>
        </w:rPr>
        <w:t>（</w:t>
      </w:r>
      <w:r w:rsidR="00BF0BE8" w:rsidRPr="00BF0BE8">
        <w:t>119</w:t>
      </w:r>
      <w:r w:rsidR="00BF0BE8" w:rsidRPr="00BF0BE8">
        <w:rPr>
          <w:rFonts w:ascii="宋体" w:eastAsia="宋体" w:hAnsi="宋体" w:cs="宋体" w:hint="eastAsia"/>
        </w:rPr>
        <w:t>）。在此可以修改某些</w:t>
      </w:r>
      <w:r w:rsidR="00BF0BE8" w:rsidRPr="00BF0BE8">
        <w:t>AF</w:t>
      </w:r>
      <w:r w:rsidR="00BF0BE8" w:rsidRPr="00BF0BE8">
        <w:rPr>
          <w:rFonts w:ascii="宋体" w:eastAsia="宋体" w:hAnsi="宋体" w:cs="宋体" w:hint="eastAsia"/>
        </w:rPr>
        <w:t>，以反映以下产品的给药途径，给药时间表，患者人群或给药持续时间。基于给药途径的变化的一个例子是当药物</w:t>
      </w:r>
      <w:r w:rsidR="00BF0BE8" w:rsidRPr="00BF0BE8">
        <w:t>B</w:t>
      </w:r>
      <w:r w:rsidR="00BF0BE8" w:rsidRPr="00BF0BE8">
        <w:rPr>
          <w:rFonts w:ascii="宋体" w:eastAsia="宋体" w:hAnsi="宋体" w:cs="宋体" w:hint="eastAsia"/>
        </w:rPr>
        <w:t>口服并且最初的</w:t>
      </w:r>
      <w:r w:rsidR="00BF0BE8" w:rsidRPr="00BF0BE8">
        <w:t>HBEL</w:t>
      </w:r>
      <w:r w:rsidR="00BF0BE8" w:rsidRPr="00BF0BE8">
        <w:rPr>
          <w:rFonts w:ascii="宋体" w:eastAsia="宋体" w:hAnsi="宋体" w:cs="宋体" w:hint="eastAsia"/>
        </w:rPr>
        <w:t>在最坏情况（即肠胃外）给药途径下出现。在这种情况下，如果间歇性地（即每月一次）给药药物</w:t>
      </w:r>
      <w:r w:rsidR="00BF0BE8" w:rsidRPr="00BF0BE8">
        <w:t>B</w:t>
      </w:r>
      <w:r w:rsidR="00BF0BE8" w:rsidRPr="00BF0BE8">
        <w:rPr>
          <w:rFonts w:ascii="宋体" w:eastAsia="宋体" w:hAnsi="宋体" w:cs="宋体" w:hint="eastAsia"/>
        </w:rPr>
        <w:t>，并且每月也给药一次药物</w:t>
      </w:r>
      <w:r w:rsidR="00BF0BE8" w:rsidRPr="00BF0BE8">
        <w:t>A</w:t>
      </w:r>
      <w:r w:rsidR="00BF0BE8" w:rsidRPr="00BF0BE8">
        <w:rPr>
          <w:rFonts w:ascii="宋体" w:eastAsia="宋体" w:hAnsi="宋体" w:cs="宋体" w:hint="eastAsia"/>
        </w:rPr>
        <w:t>，则基于口头数据的后续产品</w:t>
      </w:r>
      <w:r w:rsidR="00BF0BE8" w:rsidRPr="00BF0BE8">
        <w:t>HBEL</w:t>
      </w:r>
      <w:r w:rsidR="00BF0BE8" w:rsidRPr="00BF0BE8">
        <w:rPr>
          <w:rFonts w:ascii="宋体" w:eastAsia="宋体" w:hAnsi="宋体" w:cs="宋体" w:hint="eastAsia"/>
        </w:rPr>
        <w:t>的生物利用度</w:t>
      </w:r>
      <w:r w:rsidR="00BF0BE8" w:rsidRPr="00BF0BE8">
        <w:t>AF</w:t>
      </w:r>
      <w:r w:rsidR="00BF0BE8" w:rsidRPr="00BF0BE8">
        <w:rPr>
          <w:rFonts w:ascii="宋体" w:eastAsia="宋体" w:hAnsi="宋体" w:cs="宋体" w:hint="eastAsia"/>
        </w:rPr>
        <w:t>可以更改为</w:t>
      </w:r>
      <w:r w:rsidR="00BF0BE8" w:rsidRPr="00BF0BE8">
        <w:t>1</w:t>
      </w:r>
      <w:r w:rsidR="00BF0BE8" w:rsidRPr="00BF0BE8">
        <w:rPr>
          <w:rFonts w:ascii="宋体" w:eastAsia="宋体" w:hAnsi="宋体" w:cs="宋体" w:hint="eastAsia"/>
        </w:rPr>
        <w:t>。由于原料药</w:t>
      </w:r>
      <w:r w:rsidR="00BF0BE8" w:rsidRPr="00BF0BE8">
        <w:t>HBEL</w:t>
      </w:r>
      <w:r w:rsidR="00BF0BE8" w:rsidRPr="00BF0BE8">
        <w:rPr>
          <w:rFonts w:ascii="宋体" w:eastAsia="宋体" w:hAnsi="宋体" w:cs="宋体" w:hint="eastAsia"/>
        </w:rPr>
        <w:t>反映了每日剂量，因此累积</w:t>
      </w:r>
      <w:r w:rsidR="00BF0BE8" w:rsidRPr="00BF0BE8">
        <w:t>AF</w:t>
      </w:r>
      <w:r w:rsidR="00BF0BE8" w:rsidRPr="00BF0BE8">
        <w:rPr>
          <w:rFonts w:ascii="宋体" w:eastAsia="宋体" w:hAnsi="宋体" w:cs="宋体" w:hint="eastAsia"/>
        </w:rPr>
        <w:t>也可以修改为</w:t>
      </w:r>
      <w:r w:rsidR="00BF0BE8" w:rsidRPr="00BF0BE8">
        <w:t>1</w:t>
      </w:r>
      <w:r w:rsidR="00BF0BE8" w:rsidRPr="00BF0BE8">
        <w:rPr>
          <w:rFonts w:ascii="宋体" w:eastAsia="宋体" w:hAnsi="宋体" w:cs="宋体" w:hint="eastAsia"/>
        </w:rPr>
        <w:t>，以得出后续产品</w:t>
      </w:r>
      <w:r w:rsidR="00BF0BE8" w:rsidRPr="00BF0BE8">
        <w:t>HBEL</w:t>
      </w:r>
      <w:r w:rsidR="00BF0BE8" w:rsidRPr="00BF0BE8">
        <w:rPr>
          <w:rFonts w:ascii="宋体" w:eastAsia="宋体" w:hAnsi="宋体" w:cs="宋体" w:hint="eastAsia"/>
        </w:rPr>
        <w:t>。在其他情况下，可以将</w:t>
      </w:r>
      <w:r w:rsidR="00BF0BE8" w:rsidRPr="00BF0BE8">
        <w:t>HBEL</w:t>
      </w:r>
      <w:r w:rsidR="00BF0BE8" w:rsidRPr="00BF0BE8">
        <w:rPr>
          <w:rFonts w:ascii="宋体" w:eastAsia="宋体" w:hAnsi="宋体" w:cs="宋体" w:hint="eastAsia"/>
        </w:rPr>
        <w:t>修改为后续产品</w:t>
      </w:r>
      <w:r w:rsidR="00BF0BE8" w:rsidRPr="00BF0BE8">
        <w:t>HBEL [</w:t>
      </w:r>
      <w:r w:rsidR="00BF0BE8" w:rsidRPr="00BF0BE8">
        <w:rPr>
          <w:rFonts w:ascii="宋体" w:eastAsia="宋体" w:hAnsi="宋体" w:cs="宋体" w:hint="eastAsia"/>
        </w:rPr>
        <w:t>在参考文献（</w:t>
      </w:r>
      <w:r w:rsidR="00BF0BE8" w:rsidRPr="00BF0BE8">
        <w:t>119</w:t>
      </w:r>
      <w:r w:rsidR="00BF0BE8" w:rsidRPr="00BF0BE8">
        <w:rPr>
          <w:rFonts w:ascii="宋体" w:eastAsia="宋体" w:hAnsi="宋体" w:cs="宋体" w:hint="eastAsia"/>
        </w:rPr>
        <w:t>）中进行审查</w:t>
      </w:r>
      <w:r w:rsidR="00BF0BE8" w:rsidRPr="00BF0BE8">
        <w:t>]</w:t>
      </w:r>
      <w:r w:rsidR="00BF0BE8" w:rsidRPr="00BF0BE8">
        <w:rPr>
          <w:rFonts w:ascii="宋体" w:eastAsia="宋体" w:hAnsi="宋体" w:cs="宋体" w:hint="eastAsia"/>
        </w:rPr>
        <w:t>，应根据需要应用。考虑到多产品设施中所有可能的组合，在所有情况下提供后续产品</w:t>
      </w:r>
      <w:r w:rsidR="00BF0BE8" w:rsidRPr="00BF0BE8">
        <w:t>HBEL</w:t>
      </w:r>
      <w:r w:rsidR="00BF0BE8" w:rsidRPr="00BF0BE8">
        <w:rPr>
          <w:rFonts w:ascii="宋体" w:eastAsia="宋体" w:hAnsi="宋体" w:cs="宋体" w:hint="eastAsia"/>
        </w:rPr>
        <w:t>实际上是不可行的。但是，在某些情况下，例如用于早期临床试验的中试工厂，已知该设施中所有化合物的暴露持续时间只会很短。在这种情况下，可能会对该设施中的产品</w:t>
      </w:r>
      <w:r w:rsidR="00BF0BE8" w:rsidRPr="00BF0BE8">
        <w:t>HBEL</w:t>
      </w:r>
      <w:r w:rsidR="00BF0BE8" w:rsidRPr="00BF0BE8">
        <w:rPr>
          <w:rFonts w:ascii="宋体" w:eastAsia="宋体" w:hAnsi="宋体" w:cs="宋体" w:hint="eastAsia"/>
        </w:rPr>
        <w:t>进行修改，例如将</w:t>
      </w:r>
      <w:r w:rsidR="00BF0BE8" w:rsidRPr="00BF0BE8">
        <w:t>TTC</w:t>
      </w:r>
      <w:r w:rsidR="00BF0BE8" w:rsidRPr="00BF0BE8">
        <w:rPr>
          <w:rFonts w:ascii="宋体" w:eastAsia="宋体" w:hAnsi="宋体" w:cs="宋体" w:hint="eastAsia"/>
        </w:rPr>
        <w:t>提高十倍，以解决临床试验中有限的暴露时间</w:t>
      </w:r>
      <w:r>
        <w:t xml:space="preserve"> </w:t>
      </w:r>
      <w:r>
        <w:rPr>
          <w:b/>
        </w:rPr>
        <w:t>(</w:t>
      </w:r>
      <w:r>
        <w:rPr>
          <w:b/>
          <w:color w:val="C1151A"/>
        </w:rPr>
        <w:t>120</w:t>
      </w:r>
      <w:r>
        <w:rPr>
          <w:b/>
        </w:rPr>
        <w:t>)</w:t>
      </w:r>
      <w:r>
        <w:t>.</w:t>
      </w:r>
    </w:p>
    <w:p w14:paraId="60CB90E1" w14:textId="37DC9A48" w:rsidR="0026097E" w:rsidRDefault="00284695">
      <w:pPr>
        <w:pStyle w:val="2"/>
        <w:spacing w:after="135"/>
        <w:ind w:left="-5"/>
      </w:pPr>
      <w:r>
        <w:t xml:space="preserve">10. </w:t>
      </w:r>
      <w:r w:rsidR="00BF0BE8" w:rsidRPr="00BF0BE8">
        <w:rPr>
          <w:rFonts w:ascii="宋体" w:eastAsia="宋体" w:hAnsi="宋体" w:cs="宋体" w:hint="eastAsia"/>
        </w:rPr>
        <w:t>特殊终点</w:t>
      </w:r>
    </w:p>
    <w:p w14:paraId="7C81EC83" w14:textId="75942491" w:rsidR="0026097E" w:rsidRDefault="00284695">
      <w:pPr>
        <w:spacing w:after="48" w:line="248" w:lineRule="auto"/>
        <w:ind w:firstLine="190"/>
      </w:pPr>
      <w:r>
        <w:t>10.1</w:t>
      </w:r>
      <w:r w:rsidR="00BF0BE8" w:rsidRPr="00BF0BE8">
        <w:rPr>
          <w:rFonts w:ascii="宋体" w:eastAsia="宋体" w:hAnsi="宋体" w:cs="宋体" w:hint="eastAsia"/>
        </w:rPr>
        <w:t>敏化：高敏材料的设施奉献</w:t>
      </w:r>
      <w:r>
        <w:rPr>
          <w:i/>
        </w:rPr>
        <w:t>:</w:t>
      </w:r>
    </w:p>
    <w:tbl>
      <w:tblPr>
        <w:tblStyle w:val="TableGrid"/>
        <w:tblpPr w:vertAnchor="text" w:horzAnchor="margin" w:tblpY="1350"/>
        <w:tblOverlap w:val="never"/>
        <w:tblW w:w="10773" w:type="dxa"/>
        <w:tblInd w:w="0" w:type="dxa"/>
        <w:tblCellMar>
          <w:left w:w="608" w:type="dxa"/>
          <w:right w:w="604" w:type="dxa"/>
        </w:tblCellMar>
        <w:tblLook w:val="04A0" w:firstRow="1" w:lastRow="0" w:firstColumn="1" w:lastColumn="0" w:noHBand="0" w:noVBand="1"/>
      </w:tblPr>
      <w:tblGrid>
        <w:gridCol w:w="11092"/>
      </w:tblGrid>
      <w:tr w:rsidR="0026097E" w14:paraId="7B740117" w14:textId="77777777" w:rsidTr="00EC1A52">
        <w:trPr>
          <w:trHeight w:val="148"/>
        </w:trPr>
        <w:tc>
          <w:tcPr>
            <w:tcW w:w="10773" w:type="dxa"/>
            <w:tcBorders>
              <w:top w:val="nil"/>
              <w:left w:val="nil"/>
              <w:bottom w:val="nil"/>
              <w:right w:val="nil"/>
            </w:tcBorders>
            <w:vAlign w:val="bottom"/>
          </w:tcPr>
          <w:tbl>
            <w:tblPr>
              <w:tblStyle w:val="a3"/>
              <w:tblW w:w="9870" w:type="dxa"/>
              <w:tblLook w:val="04A0" w:firstRow="1" w:lastRow="0" w:firstColumn="1" w:lastColumn="0" w:noHBand="0" w:noVBand="1"/>
            </w:tblPr>
            <w:tblGrid>
              <w:gridCol w:w="310"/>
              <w:gridCol w:w="461"/>
              <w:gridCol w:w="1288"/>
              <w:gridCol w:w="1973"/>
              <w:gridCol w:w="120"/>
              <w:gridCol w:w="1853"/>
              <w:gridCol w:w="1973"/>
              <w:gridCol w:w="1892"/>
            </w:tblGrid>
            <w:tr w:rsidR="00EC1A52" w:rsidRPr="00EC1A52" w14:paraId="120E7A2E" w14:textId="77777777" w:rsidTr="00EC1A52">
              <w:tc>
                <w:tcPr>
                  <w:tcW w:w="2156" w:type="dxa"/>
                  <w:gridSpan w:val="3"/>
                  <w:vMerge w:val="restart"/>
                  <w:shd w:val="clear" w:color="auto" w:fill="BDD6EE" w:themeFill="accent5" w:themeFillTint="66"/>
                </w:tcPr>
                <w:p w14:paraId="515D5619"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lastRenderedPageBreak/>
                    <w:t>H</w:t>
                  </w:r>
                  <w:r w:rsidRPr="000B34D4">
                    <w:rPr>
                      <w:rFonts w:eastAsia="宋体"/>
                      <w:color w:val="auto"/>
                      <w:sz w:val="18"/>
                      <w:szCs w:val="18"/>
                    </w:rPr>
                    <w:t>BEL</w:t>
                  </w:r>
                  <w:r w:rsidRPr="000B34D4">
                    <w:rPr>
                      <w:rFonts w:eastAsia="宋体"/>
                      <w:color w:val="auto"/>
                      <w:sz w:val="18"/>
                      <w:szCs w:val="18"/>
                    </w:rPr>
                    <w:t>判定步骤</w:t>
                  </w:r>
                </w:p>
              </w:tc>
              <w:tc>
                <w:tcPr>
                  <w:tcW w:w="4156" w:type="dxa"/>
                  <w:gridSpan w:val="3"/>
                </w:tcPr>
                <w:p w14:paraId="04BCE084"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替莫洛尔</w:t>
                  </w:r>
                </w:p>
              </w:tc>
              <w:tc>
                <w:tcPr>
                  <w:tcW w:w="3558" w:type="dxa"/>
                  <w:gridSpan w:val="2"/>
                </w:tcPr>
                <w:p w14:paraId="5CFDDCDA"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酮替芬</w:t>
                  </w:r>
                </w:p>
              </w:tc>
            </w:tr>
            <w:tr w:rsidR="00EC1A52" w:rsidRPr="00EC1A52" w14:paraId="38A3F4F8" w14:textId="77777777" w:rsidTr="00EC1A52">
              <w:tc>
                <w:tcPr>
                  <w:tcW w:w="2156" w:type="dxa"/>
                  <w:gridSpan w:val="3"/>
                  <w:vMerge/>
                  <w:shd w:val="clear" w:color="auto" w:fill="BDD6EE" w:themeFill="accent5" w:themeFillTint="66"/>
                </w:tcPr>
                <w:p w14:paraId="5071E82A"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2198" w:type="dxa"/>
                  <w:gridSpan w:val="2"/>
                </w:tcPr>
                <w:p w14:paraId="3CE4689A"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口服</w:t>
                  </w:r>
                </w:p>
              </w:tc>
              <w:tc>
                <w:tcPr>
                  <w:tcW w:w="1958" w:type="dxa"/>
                </w:tcPr>
                <w:p w14:paraId="218DB184"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眼</w:t>
                  </w:r>
                </w:p>
              </w:tc>
              <w:tc>
                <w:tcPr>
                  <w:tcW w:w="2078" w:type="dxa"/>
                </w:tcPr>
                <w:p w14:paraId="53DFD910"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口服</w:t>
                  </w:r>
                </w:p>
              </w:tc>
              <w:tc>
                <w:tcPr>
                  <w:tcW w:w="1480" w:type="dxa"/>
                </w:tcPr>
                <w:p w14:paraId="4D9718EC"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眼</w:t>
                  </w:r>
                </w:p>
              </w:tc>
            </w:tr>
            <w:tr w:rsidR="00EC1A52" w:rsidRPr="00EC1A52" w14:paraId="36BD855C" w14:textId="77777777" w:rsidTr="00EC1A52">
              <w:tc>
                <w:tcPr>
                  <w:tcW w:w="316" w:type="dxa"/>
                  <w:shd w:val="clear" w:color="auto" w:fill="BDD6EE" w:themeFill="accent5" w:themeFillTint="66"/>
                </w:tcPr>
                <w:p w14:paraId="04F9A2C4"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p>
              </w:tc>
              <w:tc>
                <w:tcPr>
                  <w:tcW w:w="1840" w:type="dxa"/>
                  <w:gridSpan w:val="2"/>
                  <w:shd w:val="clear" w:color="auto" w:fill="BDD6EE" w:themeFill="accent5" w:themeFillTint="66"/>
                </w:tcPr>
                <w:p w14:paraId="77E5F66B"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危害识别</w:t>
                  </w:r>
                </w:p>
              </w:tc>
              <w:tc>
                <w:tcPr>
                  <w:tcW w:w="4156" w:type="dxa"/>
                  <w:gridSpan w:val="3"/>
                </w:tcPr>
                <w:p w14:paraId="4C2B5012"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替莫洛尔是非选择性β</w:t>
                  </w:r>
                  <w:r w:rsidRPr="000B34D4">
                    <w:rPr>
                      <w:rFonts w:eastAsia="宋体" w:hint="eastAsia"/>
                      <w:color w:val="auto"/>
                      <w:sz w:val="18"/>
                      <w:szCs w:val="18"/>
                    </w:rPr>
                    <w:t>-</w:t>
                  </w:r>
                  <w:r w:rsidRPr="000B34D4">
                    <w:rPr>
                      <w:rFonts w:eastAsia="宋体" w:hint="eastAsia"/>
                      <w:color w:val="auto"/>
                      <w:sz w:val="18"/>
                      <w:szCs w:val="18"/>
                    </w:rPr>
                    <w:t>肾上腺素能拮抗剂，替莫洛尔是无遗传毒性和非致癌性化合物。对大鼠生殖和生育能力的研究表明，口服</w:t>
                  </w:r>
                  <w:r w:rsidRPr="000B34D4">
                    <w:rPr>
                      <w:rFonts w:eastAsia="宋体" w:hint="eastAsia"/>
                      <w:color w:val="auto"/>
                      <w:sz w:val="18"/>
                      <w:szCs w:val="18"/>
                    </w:rPr>
                    <w:t>3</w:t>
                  </w:r>
                  <w:r w:rsidRPr="000B34D4">
                    <w:rPr>
                      <w:rFonts w:eastAsia="宋体"/>
                      <w:color w:val="auto"/>
                      <w:sz w:val="18"/>
                      <w:szCs w:val="18"/>
                    </w:rPr>
                    <w:t>00</w:t>
                  </w:r>
                  <w:r w:rsidRPr="000B34D4">
                    <w:rPr>
                      <w:rFonts w:eastAsia="宋体"/>
                      <w:color w:val="auto"/>
                      <w:sz w:val="18"/>
                      <w:szCs w:val="18"/>
                    </w:rPr>
                    <w:t>和</w:t>
                  </w:r>
                  <w:r w:rsidRPr="000B34D4">
                    <w:rPr>
                      <w:rFonts w:eastAsia="宋体" w:hint="eastAsia"/>
                      <w:color w:val="auto"/>
                      <w:sz w:val="18"/>
                      <w:szCs w:val="18"/>
                    </w:rPr>
                    <w:t>4</w:t>
                  </w:r>
                  <w:r w:rsidRPr="000B34D4">
                    <w:rPr>
                      <w:rFonts w:eastAsia="宋体"/>
                      <w:color w:val="auto"/>
                      <w:sz w:val="18"/>
                      <w:szCs w:val="18"/>
                    </w:rPr>
                    <w:t>50mg</w:t>
                  </w:r>
                  <w:r w:rsidRPr="000B34D4">
                    <w:rPr>
                      <w:rFonts w:eastAsia="宋体" w:hint="eastAsia"/>
                      <w:color w:val="auto"/>
                      <w:sz w:val="18"/>
                      <w:szCs w:val="18"/>
                    </w:rPr>
                    <w:t>/K</w:t>
                  </w:r>
                  <w:r w:rsidRPr="000B34D4">
                    <w:rPr>
                      <w:rFonts w:eastAsia="宋体"/>
                      <w:color w:val="auto"/>
                      <w:sz w:val="18"/>
                      <w:szCs w:val="18"/>
                    </w:rPr>
                    <w:t>g/</w:t>
                  </w:r>
                  <w:r w:rsidRPr="000B34D4">
                    <w:rPr>
                      <w:rFonts w:eastAsia="宋体"/>
                      <w:color w:val="auto"/>
                      <w:sz w:val="18"/>
                      <w:szCs w:val="18"/>
                    </w:rPr>
                    <w:t>天不会对</w:t>
                  </w:r>
                  <w:r w:rsidRPr="000B34D4">
                    <w:rPr>
                      <w:rFonts w:eastAsia="宋体" w:hint="eastAsia"/>
                      <w:color w:val="auto"/>
                      <w:sz w:val="18"/>
                      <w:szCs w:val="18"/>
                    </w:rPr>
                    <w:t>男性或女性生育能力产生不利影响。分别在小鼠中未观察到致畸作用或胚胎</w:t>
                  </w:r>
                  <w:r w:rsidRPr="000B34D4">
                    <w:rPr>
                      <w:rFonts w:eastAsia="宋体" w:hint="eastAsia"/>
                      <w:color w:val="auto"/>
                      <w:sz w:val="18"/>
                      <w:szCs w:val="18"/>
                    </w:rPr>
                    <w:t>-</w:t>
                  </w:r>
                  <w:r w:rsidRPr="000B34D4">
                    <w:rPr>
                      <w:rFonts w:eastAsia="宋体" w:hint="eastAsia"/>
                      <w:color w:val="auto"/>
                      <w:sz w:val="18"/>
                      <w:szCs w:val="18"/>
                    </w:rPr>
                    <w:t>胎儿毒性大鼠或兔子口服后剂量高达</w:t>
                  </w:r>
                  <w:r w:rsidRPr="000B34D4">
                    <w:rPr>
                      <w:rFonts w:eastAsia="宋体" w:hint="eastAsia"/>
                      <w:color w:val="auto"/>
                      <w:sz w:val="18"/>
                      <w:szCs w:val="18"/>
                    </w:rPr>
                    <w:t>5</w:t>
                  </w:r>
                  <w:r w:rsidRPr="000B34D4">
                    <w:rPr>
                      <w:rFonts w:eastAsia="宋体"/>
                      <w:color w:val="auto"/>
                      <w:sz w:val="18"/>
                      <w:szCs w:val="18"/>
                    </w:rPr>
                    <w:t>0mg</w:t>
                  </w:r>
                  <w:r w:rsidRPr="000B34D4">
                    <w:rPr>
                      <w:rFonts w:eastAsia="宋体" w:hint="eastAsia"/>
                      <w:color w:val="auto"/>
                      <w:sz w:val="18"/>
                      <w:szCs w:val="18"/>
                    </w:rPr>
                    <w:t>/</w:t>
                  </w:r>
                  <w:r w:rsidRPr="000B34D4">
                    <w:rPr>
                      <w:rFonts w:eastAsia="宋体"/>
                      <w:color w:val="auto"/>
                      <w:sz w:val="18"/>
                      <w:szCs w:val="18"/>
                    </w:rPr>
                    <w:t>kg</w:t>
                  </w:r>
                  <w:r w:rsidRPr="000B34D4">
                    <w:rPr>
                      <w:rFonts w:eastAsia="宋体" w:hint="eastAsia"/>
                      <w:color w:val="auto"/>
                      <w:sz w:val="18"/>
                      <w:szCs w:val="18"/>
                    </w:rPr>
                    <w:t>/</w:t>
                  </w:r>
                  <w:r w:rsidRPr="000B34D4">
                    <w:rPr>
                      <w:rFonts w:eastAsia="宋体"/>
                      <w:color w:val="auto"/>
                      <w:sz w:val="18"/>
                      <w:szCs w:val="18"/>
                    </w:rPr>
                    <w:t>天</w:t>
                  </w:r>
                  <w:r w:rsidRPr="000B34D4">
                    <w:rPr>
                      <w:rFonts w:eastAsia="宋体" w:hint="eastAsia"/>
                      <w:color w:val="auto"/>
                      <w:sz w:val="18"/>
                      <w:szCs w:val="18"/>
                    </w:rPr>
                    <w:t>，当分别以</w:t>
                  </w:r>
                  <w:r w:rsidRPr="000B34D4">
                    <w:rPr>
                      <w:rFonts w:eastAsia="宋体" w:hint="eastAsia"/>
                      <w:color w:val="auto"/>
                      <w:sz w:val="18"/>
                      <w:szCs w:val="18"/>
                    </w:rPr>
                    <w:t>1</w:t>
                  </w:r>
                  <w:r w:rsidRPr="000B34D4">
                    <w:rPr>
                      <w:rFonts w:eastAsia="宋体"/>
                      <w:color w:val="auto"/>
                      <w:sz w:val="18"/>
                      <w:szCs w:val="18"/>
                    </w:rPr>
                    <w:t>000</w:t>
                  </w:r>
                  <w:r w:rsidRPr="000B34D4">
                    <w:rPr>
                      <w:rFonts w:eastAsia="宋体"/>
                      <w:color w:val="auto"/>
                      <w:sz w:val="18"/>
                      <w:szCs w:val="18"/>
                    </w:rPr>
                    <w:t>和</w:t>
                  </w:r>
                  <w:r w:rsidRPr="000B34D4">
                    <w:rPr>
                      <w:rFonts w:eastAsia="宋体" w:hint="eastAsia"/>
                      <w:color w:val="auto"/>
                      <w:sz w:val="18"/>
                      <w:szCs w:val="18"/>
                    </w:rPr>
                    <w:t>5</w:t>
                  </w:r>
                  <w:r w:rsidRPr="000B34D4">
                    <w:rPr>
                      <w:rFonts w:eastAsia="宋体"/>
                      <w:color w:val="auto"/>
                      <w:sz w:val="18"/>
                      <w:szCs w:val="18"/>
                    </w:rPr>
                    <w:t>00mg</w:t>
                  </w:r>
                  <w:r w:rsidRPr="000B34D4">
                    <w:rPr>
                      <w:rFonts w:eastAsia="宋体" w:hint="eastAsia"/>
                      <w:color w:val="auto"/>
                      <w:sz w:val="18"/>
                      <w:szCs w:val="18"/>
                    </w:rPr>
                    <w:t>/</w:t>
                  </w:r>
                  <w:r w:rsidRPr="000B34D4">
                    <w:rPr>
                      <w:rFonts w:eastAsia="宋体"/>
                      <w:color w:val="auto"/>
                      <w:sz w:val="18"/>
                      <w:szCs w:val="18"/>
                    </w:rPr>
                    <w:t>kg/</w:t>
                  </w:r>
                  <w:r w:rsidRPr="000B34D4">
                    <w:rPr>
                      <w:rFonts w:eastAsia="宋体"/>
                      <w:color w:val="auto"/>
                      <w:sz w:val="18"/>
                      <w:szCs w:val="18"/>
                    </w:rPr>
                    <w:t>天</w:t>
                  </w:r>
                  <w:r w:rsidRPr="000B34D4">
                    <w:rPr>
                      <w:rFonts w:eastAsia="宋体" w:hint="eastAsia"/>
                      <w:color w:val="auto"/>
                      <w:sz w:val="18"/>
                      <w:szCs w:val="18"/>
                    </w:rPr>
                    <w:t>的剂量口服时</w:t>
                  </w:r>
                  <w:r w:rsidRPr="000B34D4">
                    <w:rPr>
                      <w:rFonts w:eastAsia="宋体"/>
                      <w:color w:val="auto"/>
                      <w:sz w:val="18"/>
                      <w:szCs w:val="18"/>
                    </w:rPr>
                    <w:t>，替莫洛尔对小鼠和大鼠的围产期和产后发育没有任何影响</w:t>
                  </w:r>
                  <w:r w:rsidRPr="000B34D4">
                    <w:rPr>
                      <w:rFonts w:eastAsia="宋体" w:hint="eastAsia"/>
                      <w:color w:val="auto"/>
                      <w:sz w:val="18"/>
                      <w:szCs w:val="18"/>
                    </w:rPr>
                    <w:t>，</w:t>
                  </w:r>
                </w:p>
              </w:tc>
              <w:tc>
                <w:tcPr>
                  <w:tcW w:w="3558" w:type="dxa"/>
                  <w:gridSpan w:val="2"/>
                </w:tcPr>
                <w:p w14:paraId="34AB9D47"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酮替芬是</w:t>
                  </w:r>
                  <w:r w:rsidRPr="000B34D4">
                    <w:rPr>
                      <w:rFonts w:eastAsia="宋体" w:hint="eastAsia"/>
                      <w:color w:val="auto"/>
                      <w:sz w:val="18"/>
                      <w:szCs w:val="18"/>
                    </w:rPr>
                    <w:t>组胺（</w:t>
                  </w:r>
                  <w:r w:rsidRPr="000B34D4">
                    <w:rPr>
                      <w:rFonts w:eastAsia="宋体" w:hint="eastAsia"/>
                      <w:color w:val="auto"/>
                      <w:sz w:val="18"/>
                      <w:szCs w:val="18"/>
                    </w:rPr>
                    <w:t>H</w:t>
                  </w:r>
                  <w:r w:rsidRPr="000B34D4">
                    <w:rPr>
                      <w:rFonts w:eastAsia="宋体"/>
                      <w:color w:val="auto"/>
                      <w:sz w:val="18"/>
                      <w:szCs w:val="18"/>
                    </w:rPr>
                    <w:t>1</w:t>
                  </w:r>
                  <w:r w:rsidRPr="000B34D4">
                    <w:rPr>
                      <w:rFonts w:eastAsia="宋体" w:hint="eastAsia"/>
                      <w:color w:val="auto"/>
                      <w:sz w:val="18"/>
                      <w:szCs w:val="18"/>
                    </w:rPr>
                    <w:t>）受体拮抗剂，酮替芬是无遗传毒性和非致癌性化合物，在高水平的测试中看到了对雄性大鼠生育力的不利影响（</w:t>
                  </w:r>
                  <w:r w:rsidRPr="000B34D4">
                    <w:rPr>
                      <w:rFonts w:eastAsia="宋体" w:hint="eastAsia"/>
                      <w:color w:val="auto"/>
                      <w:sz w:val="18"/>
                      <w:szCs w:val="18"/>
                    </w:rPr>
                    <w:t>5</w:t>
                  </w:r>
                  <w:r w:rsidRPr="000B34D4">
                    <w:rPr>
                      <w:rFonts w:eastAsia="宋体"/>
                      <w:color w:val="auto"/>
                      <w:sz w:val="18"/>
                      <w:szCs w:val="18"/>
                    </w:rPr>
                    <w:t>0mg</w:t>
                  </w:r>
                  <w:r w:rsidRPr="000B34D4">
                    <w:rPr>
                      <w:rFonts w:eastAsia="宋体" w:hint="eastAsia"/>
                      <w:color w:val="auto"/>
                      <w:sz w:val="18"/>
                      <w:szCs w:val="18"/>
                    </w:rPr>
                    <w:t>/</w:t>
                  </w:r>
                  <w:r w:rsidRPr="000B34D4">
                    <w:rPr>
                      <w:rFonts w:eastAsia="宋体"/>
                      <w:color w:val="auto"/>
                      <w:sz w:val="18"/>
                      <w:szCs w:val="18"/>
                    </w:rPr>
                    <w:t>kg/</w:t>
                  </w:r>
                  <w:r w:rsidRPr="000B34D4">
                    <w:rPr>
                      <w:rFonts w:eastAsia="宋体"/>
                      <w:color w:val="auto"/>
                      <w:sz w:val="18"/>
                      <w:szCs w:val="18"/>
                    </w:rPr>
                    <w:t>天</w:t>
                  </w:r>
                  <w:r w:rsidRPr="000B34D4">
                    <w:rPr>
                      <w:rFonts w:eastAsia="宋体" w:hint="eastAsia"/>
                      <w:color w:val="auto"/>
                      <w:sz w:val="18"/>
                      <w:szCs w:val="18"/>
                    </w:rPr>
                    <w:t>），而雌性大鼠的生育能力并未显示酮替芬的致畸作用，后代的酮替</w:t>
                  </w:r>
                  <w:proofErr w:type="gramStart"/>
                  <w:r w:rsidRPr="000B34D4">
                    <w:rPr>
                      <w:rFonts w:eastAsia="宋体" w:hint="eastAsia"/>
                      <w:color w:val="auto"/>
                      <w:sz w:val="18"/>
                      <w:szCs w:val="18"/>
                    </w:rPr>
                    <w:t>芬处理</w:t>
                  </w:r>
                  <w:proofErr w:type="gramEnd"/>
                  <w:r w:rsidRPr="000B34D4">
                    <w:rPr>
                      <w:rFonts w:eastAsia="宋体" w:hint="eastAsia"/>
                      <w:color w:val="auto"/>
                      <w:sz w:val="18"/>
                      <w:szCs w:val="18"/>
                    </w:rPr>
                    <w:t>剂量不超过</w:t>
                  </w:r>
                  <w:r w:rsidRPr="000B34D4">
                    <w:rPr>
                      <w:rFonts w:eastAsia="宋体" w:hint="eastAsia"/>
                      <w:color w:val="auto"/>
                      <w:sz w:val="18"/>
                      <w:szCs w:val="18"/>
                    </w:rPr>
                    <w:t>1</w:t>
                  </w:r>
                  <w:r w:rsidRPr="000B34D4">
                    <w:rPr>
                      <w:rFonts w:eastAsia="宋体"/>
                      <w:color w:val="auto"/>
                      <w:sz w:val="18"/>
                      <w:szCs w:val="18"/>
                    </w:rPr>
                    <w:t>0mg</w:t>
                  </w:r>
                  <w:r w:rsidRPr="000B34D4">
                    <w:rPr>
                      <w:rFonts w:eastAsia="宋体" w:hint="eastAsia"/>
                      <w:color w:val="auto"/>
                      <w:sz w:val="18"/>
                      <w:szCs w:val="18"/>
                    </w:rPr>
                    <w:t>/</w:t>
                  </w:r>
                  <w:r w:rsidRPr="000B34D4">
                    <w:rPr>
                      <w:rFonts w:eastAsia="宋体"/>
                      <w:color w:val="auto"/>
                      <w:sz w:val="18"/>
                      <w:szCs w:val="18"/>
                    </w:rPr>
                    <w:t>kg/</w:t>
                  </w:r>
                  <w:r w:rsidRPr="000B34D4">
                    <w:rPr>
                      <w:rFonts w:eastAsia="宋体"/>
                      <w:color w:val="auto"/>
                      <w:sz w:val="18"/>
                      <w:szCs w:val="18"/>
                    </w:rPr>
                    <w:t>天时，酮替</w:t>
                  </w:r>
                  <w:proofErr w:type="gramStart"/>
                  <w:r w:rsidRPr="000B34D4">
                    <w:rPr>
                      <w:rFonts w:eastAsia="宋体"/>
                      <w:color w:val="auto"/>
                      <w:sz w:val="18"/>
                      <w:szCs w:val="18"/>
                    </w:rPr>
                    <w:t>芬不会</w:t>
                  </w:r>
                  <w:proofErr w:type="gramEnd"/>
                  <w:r w:rsidRPr="000B34D4">
                    <w:rPr>
                      <w:rFonts w:eastAsia="宋体"/>
                      <w:color w:val="auto"/>
                      <w:sz w:val="18"/>
                      <w:szCs w:val="18"/>
                    </w:rPr>
                    <w:t>影响后代的胚胎</w:t>
                  </w:r>
                  <w:r w:rsidRPr="000B34D4">
                    <w:rPr>
                      <w:rFonts w:eastAsia="宋体"/>
                      <w:color w:val="auto"/>
                      <w:sz w:val="18"/>
                      <w:szCs w:val="18"/>
                    </w:rPr>
                    <w:t>-</w:t>
                  </w:r>
                  <w:r w:rsidRPr="000B34D4">
                    <w:rPr>
                      <w:rFonts w:eastAsia="宋体"/>
                      <w:color w:val="auto"/>
                      <w:sz w:val="18"/>
                      <w:szCs w:val="18"/>
                    </w:rPr>
                    <w:t>胎儿发育</w:t>
                  </w:r>
                </w:p>
              </w:tc>
            </w:tr>
            <w:tr w:rsidR="00EC1A52" w:rsidRPr="00EC1A52" w14:paraId="1B009AE0" w14:textId="77777777" w:rsidTr="00EC1A52">
              <w:tc>
                <w:tcPr>
                  <w:tcW w:w="316" w:type="dxa"/>
                  <w:shd w:val="clear" w:color="auto" w:fill="BDD6EE" w:themeFill="accent5" w:themeFillTint="66"/>
                </w:tcPr>
                <w:p w14:paraId="1FB1E8B9"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2</w:t>
                  </w:r>
                </w:p>
              </w:tc>
              <w:tc>
                <w:tcPr>
                  <w:tcW w:w="1840" w:type="dxa"/>
                  <w:gridSpan w:val="2"/>
                  <w:shd w:val="clear" w:color="auto" w:fill="BDD6EE" w:themeFill="accent5" w:themeFillTint="66"/>
                </w:tcPr>
                <w:p w14:paraId="0739D3EF"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确定关键作用</w:t>
                  </w:r>
                </w:p>
              </w:tc>
              <w:tc>
                <w:tcPr>
                  <w:tcW w:w="2078" w:type="dxa"/>
                </w:tcPr>
                <w:p w14:paraId="50841951"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低血压</w:t>
                  </w:r>
                </w:p>
              </w:tc>
              <w:tc>
                <w:tcPr>
                  <w:tcW w:w="2078" w:type="dxa"/>
                  <w:gridSpan w:val="2"/>
                </w:tcPr>
                <w:p w14:paraId="76CC19AE"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降低眼压</w:t>
                  </w:r>
                </w:p>
              </w:tc>
              <w:tc>
                <w:tcPr>
                  <w:tcW w:w="2078" w:type="dxa"/>
                </w:tcPr>
                <w:p w14:paraId="0F021F93"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躁动，</w:t>
                  </w:r>
                  <w:r w:rsidRPr="000B34D4">
                    <w:rPr>
                      <w:rFonts w:eastAsia="宋体" w:hint="eastAsia"/>
                      <w:color w:val="auto"/>
                      <w:sz w:val="18"/>
                      <w:szCs w:val="18"/>
                    </w:rPr>
                    <w:t>烦躁，失眠，神经紧张</w:t>
                  </w:r>
                </w:p>
              </w:tc>
              <w:tc>
                <w:tcPr>
                  <w:tcW w:w="1480" w:type="dxa"/>
                </w:tcPr>
                <w:p w14:paraId="5F820B83"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头痛和鼻炎</w:t>
                  </w:r>
                </w:p>
              </w:tc>
            </w:tr>
            <w:tr w:rsidR="00EC1A52" w:rsidRPr="00EC1A52" w14:paraId="79E19527" w14:textId="77777777" w:rsidTr="00EC1A52">
              <w:tc>
                <w:tcPr>
                  <w:tcW w:w="316" w:type="dxa"/>
                  <w:shd w:val="clear" w:color="auto" w:fill="BDD6EE" w:themeFill="accent5" w:themeFillTint="66"/>
                </w:tcPr>
                <w:p w14:paraId="014247A4"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3</w:t>
                  </w:r>
                </w:p>
              </w:tc>
              <w:tc>
                <w:tcPr>
                  <w:tcW w:w="1840" w:type="dxa"/>
                  <w:gridSpan w:val="2"/>
                  <w:shd w:val="clear" w:color="auto" w:fill="BDD6EE" w:themeFill="accent5" w:themeFillTint="66"/>
                </w:tcPr>
                <w:p w14:paraId="66C2FDE5"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确定出发点</w:t>
                  </w:r>
                </w:p>
              </w:tc>
              <w:tc>
                <w:tcPr>
                  <w:tcW w:w="2078" w:type="dxa"/>
                </w:tcPr>
                <w:p w14:paraId="6193378C"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最低口服治疗剂量</w:t>
                  </w:r>
                  <w:r w:rsidRPr="000B34D4">
                    <w:rPr>
                      <w:rFonts w:eastAsia="宋体" w:hint="eastAsia"/>
                      <w:color w:val="auto"/>
                      <w:sz w:val="18"/>
                      <w:szCs w:val="18"/>
                    </w:rPr>
                    <w:t xml:space="preserve"> </w:t>
                  </w:r>
                  <w:r w:rsidRPr="000B34D4">
                    <w:rPr>
                      <w:rFonts w:eastAsia="宋体"/>
                      <w:color w:val="auto"/>
                      <w:sz w:val="18"/>
                      <w:szCs w:val="18"/>
                    </w:rPr>
                    <w:t>10mg</w:t>
                  </w:r>
                  <w:r w:rsidRPr="000B34D4">
                    <w:rPr>
                      <w:rFonts w:eastAsia="宋体" w:hint="eastAsia"/>
                      <w:color w:val="auto"/>
                      <w:sz w:val="18"/>
                      <w:szCs w:val="18"/>
                    </w:rPr>
                    <w:t>/</w:t>
                  </w:r>
                  <w:r w:rsidRPr="000B34D4">
                    <w:rPr>
                      <w:rFonts w:eastAsia="宋体"/>
                      <w:color w:val="auto"/>
                      <w:sz w:val="18"/>
                      <w:szCs w:val="18"/>
                    </w:rPr>
                    <w:t>天</w:t>
                  </w:r>
                </w:p>
              </w:tc>
              <w:tc>
                <w:tcPr>
                  <w:tcW w:w="2078" w:type="dxa"/>
                  <w:gridSpan w:val="2"/>
                </w:tcPr>
                <w:p w14:paraId="67C6D6BD"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人最低眼用量</w:t>
                  </w:r>
                  <w:r w:rsidRPr="000B34D4">
                    <w:rPr>
                      <w:rFonts w:eastAsia="宋体" w:hint="eastAsia"/>
                      <w:color w:val="auto"/>
                      <w:sz w:val="18"/>
                      <w:szCs w:val="18"/>
                    </w:rPr>
                    <w:t xml:space="preserve"> </w:t>
                  </w:r>
                  <w:r w:rsidRPr="000B34D4">
                    <w:rPr>
                      <w:rFonts w:eastAsia="宋体"/>
                      <w:color w:val="auto"/>
                      <w:sz w:val="18"/>
                      <w:szCs w:val="18"/>
                    </w:rPr>
                    <w:t>0.125mg</w:t>
                  </w:r>
                  <w:r w:rsidRPr="000B34D4">
                    <w:rPr>
                      <w:rFonts w:eastAsia="宋体" w:hint="eastAsia"/>
                      <w:color w:val="auto"/>
                      <w:sz w:val="18"/>
                      <w:szCs w:val="18"/>
                    </w:rPr>
                    <w:t>/</w:t>
                  </w:r>
                  <w:r w:rsidRPr="000B34D4">
                    <w:rPr>
                      <w:rFonts w:eastAsia="宋体"/>
                      <w:color w:val="auto"/>
                      <w:sz w:val="18"/>
                      <w:szCs w:val="18"/>
                    </w:rPr>
                    <w:t>天</w:t>
                  </w:r>
                  <w:r w:rsidRPr="000B34D4">
                    <w:rPr>
                      <w:rFonts w:eastAsia="宋体" w:hint="eastAsia"/>
                      <w:color w:val="auto"/>
                      <w:sz w:val="18"/>
                      <w:szCs w:val="18"/>
                    </w:rPr>
                    <w:t>/</w:t>
                  </w:r>
                  <w:r w:rsidRPr="000B34D4">
                    <w:rPr>
                      <w:rFonts w:eastAsia="宋体"/>
                      <w:color w:val="auto"/>
                      <w:sz w:val="18"/>
                      <w:szCs w:val="18"/>
                    </w:rPr>
                    <w:t>眼</w:t>
                  </w:r>
                </w:p>
              </w:tc>
              <w:tc>
                <w:tcPr>
                  <w:tcW w:w="2078" w:type="dxa"/>
                </w:tcPr>
                <w:p w14:paraId="52290B8B"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最低药理活性：</w:t>
                  </w:r>
                  <w:r w:rsidRPr="000B34D4">
                    <w:rPr>
                      <w:rFonts w:eastAsia="宋体" w:hint="eastAsia"/>
                      <w:color w:val="auto"/>
                      <w:sz w:val="18"/>
                      <w:szCs w:val="18"/>
                    </w:rPr>
                    <w:t>1</w:t>
                  </w:r>
                  <w:r w:rsidRPr="000B34D4">
                    <w:rPr>
                      <w:rFonts w:eastAsia="宋体"/>
                      <w:color w:val="auto"/>
                      <w:sz w:val="18"/>
                      <w:szCs w:val="18"/>
                    </w:rPr>
                    <w:t>mg</w:t>
                  </w:r>
                  <w:r w:rsidRPr="000B34D4">
                    <w:rPr>
                      <w:rFonts w:eastAsia="宋体" w:hint="eastAsia"/>
                      <w:color w:val="auto"/>
                      <w:sz w:val="18"/>
                      <w:szCs w:val="18"/>
                    </w:rPr>
                    <w:t>/</w:t>
                  </w:r>
                  <w:r w:rsidRPr="000B34D4">
                    <w:rPr>
                      <w:rFonts w:eastAsia="宋体"/>
                      <w:color w:val="auto"/>
                      <w:sz w:val="18"/>
                      <w:szCs w:val="18"/>
                    </w:rPr>
                    <w:t>天</w:t>
                  </w:r>
                </w:p>
              </w:tc>
              <w:tc>
                <w:tcPr>
                  <w:tcW w:w="1480" w:type="dxa"/>
                </w:tcPr>
                <w:p w14:paraId="0BACA925"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人最低眼用量</w:t>
                  </w:r>
                  <w:r w:rsidRPr="000B34D4">
                    <w:rPr>
                      <w:rFonts w:eastAsia="宋体" w:hint="eastAsia"/>
                      <w:color w:val="auto"/>
                      <w:sz w:val="18"/>
                      <w:szCs w:val="18"/>
                    </w:rPr>
                    <w:t xml:space="preserve"> </w:t>
                  </w:r>
                  <w:r w:rsidRPr="000B34D4">
                    <w:rPr>
                      <w:rFonts w:eastAsia="宋体"/>
                      <w:color w:val="auto"/>
                      <w:sz w:val="18"/>
                      <w:szCs w:val="18"/>
                    </w:rPr>
                    <w:t>0.025mg</w:t>
                  </w:r>
                  <w:r w:rsidRPr="000B34D4">
                    <w:rPr>
                      <w:rFonts w:eastAsia="宋体" w:hint="eastAsia"/>
                      <w:color w:val="auto"/>
                      <w:sz w:val="18"/>
                      <w:szCs w:val="18"/>
                    </w:rPr>
                    <w:t>/</w:t>
                  </w:r>
                  <w:r w:rsidRPr="000B34D4">
                    <w:rPr>
                      <w:rFonts w:eastAsia="宋体"/>
                      <w:color w:val="auto"/>
                      <w:sz w:val="18"/>
                      <w:szCs w:val="18"/>
                    </w:rPr>
                    <w:t>天</w:t>
                  </w:r>
                  <w:r w:rsidRPr="000B34D4">
                    <w:rPr>
                      <w:rFonts w:eastAsia="宋体" w:hint="eastAsia"/>
                      <w:color w:val="auto"/>
                      <w:sz w:val="18"/>
                      <w:szCs w:val="18"/>
                    </w:rPr>
                    <w:t>/</w:t>
                  </w:r>
                  <w:r w:rsidRPr="000B34D4">
                    <w:rPr>
                      <w:rFonts w:eastAsia="宋体"/>
                      <w:color w:val="auto"/>
                      <w:sz w:val="18"/>
                      <w:szCs w:val="18"/>
                    </w:rPr>
                    <w:t>眼</w:t>
                  </w:r>
                </w:p>
              </w:tc>
            </w:tr>
            <w:tr w:rsidR="000B34D4" w:rsidRPr="00EC1A52" w14:paraId="248C0D34" w14:textId="77777777" w:rsidTr="00EC1A52">
              <w:tc>
                <w:tcPr>
                  <w:tcW w:w="316" w:type="dxa"/>
                  <w:vMerge w:val="restart"/>
                  <w:shd w:val="clear" w:color="auto" w:fill="BDD6EE" w:themeFill="accent5" w:themeFillTint="66"/>
                </w:tcPr>
                <w:p w14:paraId="5E23F985"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4</w:t>
                  </w:r>
                </w:p>
              </w:tc>
              <w:tc>
                <w:tcPr>
                  <w:tcW w:w="477" w:type="dxa"/>
                  <w:vMerge w:val="restart"/>
                  <w:shd w:val="clear" w:color="auto" w:fill="BDD6EE" w:themeFill="accent5" w:themeFillTint="66"/>
                </w:tcPr>
                <w:p w14:paraId="25284300"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确定相关调整因子</w:t>
                  </w:r>
                </w:p>
              </w:tc>
              <w:tc>
                <w:tcPr>
                  <w:tcW w:w="1363" w:type="dxa"/>
                  <w:shd w:val="clear" w:color="auto" w:fill="BDD6EE" w:themeFill="accent5" w:themeFillTint="66"/>
                </w:tcPr>
                <w:p w14:paraId="149F2F1E"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种间变异（</w:t>
                  </w:r>
                  <w:r w:rsidRPr="000B34D4">
                    <w:rPr>
                      <w:rFonts w:eastAsia="宋体" w:hint="eastAsia"/>
                      <w:color w:val="auto"/>
                      <w:sz w:val="18"/>
                      <w:szCs w:val="18"/>
                    </w:rPr>
                    <w:t>F</w:t>
                  </w:r>
                  <w:r w:rsidRPr="000B34D4">
                    <w:rPr>
                      <w:rFonts w:eastAsia="宋体"/>
                      <w:color w:val="auto"/>
                      <w:sz w:val="18"/>
                      <w:szCs w:val="18"/>
                    </w:rPr>
                    <w:t>1;UF</w:t>
                  </w:r>
                  <w:r w:rsidRPr="000B34D4">
                    <w:rPr>
                      <w:rFonts w:eastAsia="宋体"/>
                      <w:color w:val="auto"/>
                      <w:sz w:val="18"/>
                      <w:szCs w:val="18"/>
                      <w:vertAlign w:val="subscript"/>
                    </w:rPr>
                    <w:t>A</w:t>
                  </w:r>
                  <w:r w:rsidRPr="000B34D4">
                    <w:rPr>
                      <w:rFonts w:eastAsia="宋体" w:hint="eastAsia"/>
                      <w:color w:val="auto"/>
                      <w:sz w:val="18"/>
                      <w:szCs w:val="18"/>
                    </w:rPr>
                    <w:t>）</w:t>
                  </w:r>
                </w:p>
              </w:tc>
              <w:tc>
                <w:tcPr>
                  <w:tcW w:w="4156" w:type="dxa"/>
                  <w:gridSpan w:val="3"/>
                </w:tcPr>
                <w:p w14:paraId="39DF5CC1"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p>
                <w:p w14:paraId="48F61D32"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P</w:t>
                  </w:r>
                  <w:r w:rsidRPr="000B34D4">
                    <w:rPr>
                      <w:rFonts w:eastAsia="宋体"/>
                      <w:color w:val="auto"/>
                      <w:sz w:val="18"/>
                      <w:szCs w:val="18"/>
                    </w:rPr>
                    <w:t>OD</w:t>
                  </w:r>
                  <w:r w:rsidRPr="000B34D4">
                    <w:rPr>
                      <w:rFonts w:eastAsia="宋体" w:hint="eastAsia"/>
                      <w:color w:val="auto"/>
                      <w:sz w:val="18"/>
                      <w:szCs w:val="18"/>
                    </w:rPr>
                    <w:t>是</w:t>
                  </w:r>
                  <w:r w:rsidRPr="000B34D4">
                    <w:rPr>
                      <w:rFonts w:eastAsia="宋体"/>
                      <w:color w:val="auto"/>
                      <w:sz w:val="18"/>
                      <w:szCs w:val="18"/>
                    </w:rPr>
                    <w:t>人类</w:t>
                  </w:r>
                  <w:r w:rsidRPr="000B34D4">
                    <w:rPr>
                      <w:rFonts w:eastAsia="宋体" w:hint="eastAsia"/>
                      <w:color w:val="auto"/>
                      <w:sz w:val="18"/>
                      <w:szCs w:val="18"/>
                    </w:rPr>
                    <w:t>之间</w:t>
                  </w:r>
                </w:p>
              </w:tc>
              <w:tc>
                <w:tcPr>
                  <w:tcW w:w="3558" w:type="dxa"/>
                  <w:gridSpan w:val="2"/>
                </w:tcPr>
                <w:p w14:paraId="24CAF323"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p>
                <w:p w14:paraId="18DE55BE"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P</w:t>
                  </w:r>
                  <w:r w:rsidRPr="000B34D4">
                    <w:rPr>
                      <w:rFonts w:eastAsia="宋体"/>
                      <w:color w:val="auto"/>
                      <w:sz w:val="18"/>
                      <w:szCs w:val="18"/>
                    </w:rPr>
                    <w:t>OD</w:t>
                  </w:r>
                  <w:r w:rsidRPr="000B34D4">
                    <w:rPr>
                      <w:rFonts w:eastAsia="宋体" w:hint="eastAsia"/>
                      <w:color w:val="auto"/>
                      <w:sz w:val="18"/>
                      <w:szCs w:val="18"/>
                    </w:rPr>
                    <w:t>是</w:t>
                  </w:r>
                  <w:r w:rsidRPr="000B34D4">
                    <w:rPr>
                      <w:rFonts w:eastAsia="宋体"/>
                      <w:color w:val="auto"/>
                      <w:sz w:val="18"/>
                      <w:szCs w:val="18"/>
                    </w:rPr>
                    <w:t>人类</w:t>
                  </w:r>
                  <w:r w:rsidRPr="000B34D4">
                    <w:rPr>
                      <w:rFonts w:eastAsia="宋体" w:hint="eastAsia"/>
                      <w:color w:val="auto"/>
                      <w:sz w:val="18"/>
                      <w:szCs w:val="18"/>
                    </w:rPr>
                    <w:t>之间</w:t>
                  </w:r>
                </w:p>
              </w:tc>
            </w:tr>
            <w:tr w:rsidR="000B34D4" w:rsidRPr="00EC1A52" w14:paraId="658FAABB" w14:textId="77777777" w:rsidTr="00EC1A52">
              <w:tc>
                <w:tcPr>
                  <w:tcW w:w="316" w:type="dxa"/>
                  <w:vMerge/>
                  <w:shd w:val="clear" w:color="auto" w:fill="BDD6EE" w:themeFill="accent5" w:themeFillTint="66"/>
                </w:tcPr>
                <w:p w14:paraId="2BE339B1"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477" w:type="dxa"/>
                  <w:vMerge/>
                  <w:shd w:val="clear" w:color="auto" w:fill="BDD6EE" w:themeFill="accent5" w:themeFillTint="66"/>
                </w:tcPr>
                <w:p w14:paraId="4728FED0"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1363" w:type="dxa"/>
                  <w:shd w:val="clear" w:color="auto" w:fill="BDD6EE" w:themeFill="accent5" w:themeFillTint="66"/>
                </w:tcPr>
                <w:p w14:paraId="0AC43E4B"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种内变异（</w:t>
                  </w:r>
                  <w:r w:rsidRPr="000B34D4">
                    <w:rPr>
                      <w:rFonts w:eastAsia="宋体" w:hint="eastAsia"/>
                      <w:color w:val="auto"/>
                      <w:sz w:val="18"/>
                      <w:szCs w:val="18"/>
                    </w:rPr>
                    <w:t>F</w:t>
                  </w:r>
                  <w:r w:rsidRPr="000B34D4">
                    <w:rPr>
                      <w:rFonts w:eastAsia="宋体"/>
                      <w:color w:val="auto"/>
                      <w:sz w:val="18"/>
                      <w:szCs w:val="18"/>
                    </w:rPr>
                    <w:t>2;UF</w:t>
                  </w:r>
                  <w:r w:rsidRPr="000B34D4">
                    <w:rPr>
                      <w:rFonts w:eastAsia="宋体"/>
                      <w:color w:val="auto"/>
                      <w:sz w:val="18"/>
                      <w:szCs w:val="18"/>
                      <w:vertAlign w:val="subscript"/>
                    </w:rPr>
                    <w:t>H</w:t>
                  </w:r>
                  <w:r w:rsidRPr="000B34D4">
                    <w:rPr>
                      <w:rFonts w:eastAsia="宋体" w:hint="eastAsia"/>
                      <w:color w:val="auto"/>
                      <w:sz w:val="18"/>
                      <w:szCs w:val="18"/>
                    </w:rPr>
                    <w:t>）</w:t>
                  </w:r>
                </w:p>
              </w:tc>
              <w:tc>
                <w:tcPr>
                  <w:tcW w:w="4156" w:type="dxa"/>
                  <w:gridSpan w:val="3"/>
                </w:tcPr>
                <w:p w14:paraId="259676B9"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color w:val="auto"/>
                      <w:sz w:val="18"/>
                      <w:szCs w:val="18"/>
                    </w:rPr>
                    <w:t>0</w:t>
                  </w:r>
                </w:p>
                <w:p w14:paraId="185568E2"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人口中人类变异的默认因子（</w:t>
                  </w:r>
                  <w:r w:rsidRPr="000B34D4">
                    <w:rPr>
                      <w:rFonts w:eastAsia="宋体" w:hint="eastAsia"/>
                      <w:color w:val="auto"/>
                      <w:sz w:val="18"/>
                      <w:szCs w:val="18"/>
                    </w:rPr>
                    <w:t>E</w:t>
                  </w:r>
                  <w:r w:rsidRPr="000B34D4">
                    <w:rPr>
                      <w:rFonts w:eastAsia="宋体"/>
                      <w:color w:val="auto"/>
                      <w:sz w:val="18"/>
                      <w:szCs w:val="18"/>
                    </w:rPr>
                    <w:t>MA</w:t>
                  </w:r>
                  <w:r w:rsidRPr="000B34D4">
                    <w:rPr>
                      <w:rFonts w:eastAsia="宋体" w:hint="eastAsia"/>
                      <w:color w:val="auto"/>
                      <w:sz w:val="18"/>
                      <w:szCs w:val="18"/>
                    </w:rPr>
                    <w:t>,2</w:t>
                  </w:r>
                  <w:r w:rsidRPr="000B34D4">
                    <w:rPr>
                      <w:rFonts w:eastAsia="宋体"/>
                      <w:color w:val="auto"/>
                      <w:sz w:val="18"/>
                      <w:szCs w:val="18"/>
                    </w:rPr>
                    <w:t>014</w:t>
                  </w:r>
                  <w:r w:rsidRPr="000B34D4">
                    <w:rPr>
                      <w:rFonts w:eastAsia="宋体"/>
                      <w:color w:val="auto"/>
                      <w:sz w:val="18"/>
                      <w:szCs w:val="18"/>
                    </w:rPr>
                    <w:t>）</w:t>
                  </w:r>
                </w:p>
              </w:tc>
              <w:tc>
                <w:tcPr>
                  <w:tcW w:w="2078" w:type="dxa"/>
                </w:tcPr>
                <w:p w14:paraId="1FA55921"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6</w:t>
                  </w:r>
                  <w:r w:rsidRPr="000B34D4">
                    <w:rPr>
                      <w:rFonts w:eastAsia="宋体" w:hint="eastAsia"/>
                      <w:color w:val="auto"/>
                      <w:sz w:val="18"/>
                      <w:szCs w:val="18"/>
                    </w:rPr>
                    <w:t>基于计算的</w:t>
                  </w:r>
                  <w:r w:rsidRPr="000B34D4">
                    <w:rPr>
                      <w:rFonts w:eastAsia="宋体" w:hint="eastAsia"/>
                      <w:color w:val="auto"/>
                      <w:sz w:val="18"/>
                      <w:szCs w:val="18"/>
                    </w:rPr>
                    <w:t>C</w:t>
                  </w:r>
                  <w:r w:rsidRPr="000B34D4">
                    <w:rPr>
                      <w:rFonts w:eastAsia="宋体"/>
                      <w:color w:val="auto"/>
                      <w:sz w:val="18"/>
                      <w:szCs w:val="18"/>
                    </w:rPr>
                    <w:t>SAF</w:t>
                  </w:r>
                  <w:r w:rsidRPr="000B34D4">
                    <w:rPr>
                      <w:rFonts w:eastAsia="宋体"/>
                      <w:color w:val="auto"/>
                      <w:sz w:val="18"/>
                      <w:szCs w:val="18"/>
                    </w:rPr>
                    <w:t>的</w:t>
                  </w:r>
                  <w:r w:rsidRPr="000B34D4">
                    <w:rPr>
                      <w:rFonts w:eastAsia="宋体" w:hint="eastAsia"/>
                      <w:color w:val="auto"/>
                      <w:sz w:val="18"/>
                      <w:szCs w:val="18"/>
                    </w:rPr>
                    <w:t>P</w:t>
                  </w:r>
                  <w:r w:rsidRPr="000B34D4">
                    <w:rPr>
                      <w:rFonts w:eastAsia="宋体"/>
                      <w:color w:val="auto"/>
                      <w:sz w:val="18"/>
                      <w:szCs w:val="18"/>
                    </w:rPr>
                    <w:t>K</w:t>
                  </w:r>
                  <w:r w:rsidRPr="000B34D4">
                    <w:rPr>
                      <w:rFonts w:eastAsia="宋体"/>
                      <w:color w:val="auto"/>
                      <w:sz w:val="18"/>
                      <w:szCs w:val="18"/>
                    </w:rPr>
                    <w:t>差异（</w:t>
                  </w:r>
                  <w:r w:rsidRPr="000B34D4">
                    <w:rPr>
                      <w:rFonts w:eastAsia="宋体" w:hint="eastAsia"/>
                      <w:color w:val="auto"/>
                      <w:sz w:val="18"/>
                      <w:szCs w:val="18"/>
                    </w:rPr>
                    <w:t>W</w:t>
                  </w:r>
                  <w:r w:rsidRPr="000B34D4">
                    <w:rPr>
                      <w:rFonts w:eastAsia="宋体"/>
                      <w:color w:val="auto"/>
                      <w:sz w:val="18"/>
                      <w:szCs w:val="18"/>
                    </w:rPr>
                    <w:t>HO,2001</w:t>
                  </w:r>
                  <w:r w:rsidRPr="000B34D4">
                    <w:rPr>
                      <w:rFonts w:eastAsia="宋体"/>
                      <w:color w:val="auto"/>
                      <w:sz w:val="18"/>
                      <w:szCs w:val="18"/>
                    </w:rPr>
                    <w:t>）</w:t>
                  </w:r>
                </w:p>
              </w:tc>
              <w:tc>
                <w:tcPr>
                  <w:tcW w:w="1480" w:type="dxa"/>
                </w:tcPr>
                <w:p w14:paraId="25591537"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color w:val="auto"/>
                      <w:sz w:val="18"/>
                      <w:szCs w:val="18"/>
                    </w:rPr>
                    <w:t>0</w:t>
                  </w:r>
                  <w:r w:rsidRPr="000B34D4">
                    <w:rPr>
                      <w:rFonts w:eastAsia="宋体"/>
                      <w:color w:val="auto"/>
                      <w:sz w:val="18"/>
                      <w:szCs w:val="18"/>
                    </w:rPr>
                    <w:t>人口中人类变异的默认因子（</w:t>
                  </w:r>
                  <w:r w:rsidRPr="000B34D4">
                    <w:rPr>
                      <w:rFonts w:eastAsia="宋体" w:hint="eastAsia"/>
                      <w:color w:val="auto"/>
                      <w:sz w:val="18"/>
                      <w:szCs w:val="18"/>
                    </w:rPr>
                    <w:t>E</w:t>
                  </w:r>
                  <w:r w:rsidRPr="000B34D4">
                    <w:rPr>
                      <w:rFonts w:eastAsia="宋体"/>
                      <w:color w:val="auto"/>
                      <w:sz w:val="18"/>
                      <w:szCs w:val="18"/>
                    </w:rPr>
                    <w:t>MA</w:t>
                  </w:r>
                  <w:r w:rsidRPr="000B34D4">
                    <w:rPr>
                      <w:rFonts w:eastAsia="宋体" w:hint="eastAsia"/>
                      <w:color w:val="auto"/>
                      <w:sz w:val="18"/>
                      <w:szCs w:val="18"/>
                    </w:rPr>
                    <w:t>,2</w:t>
                  </w:r>
                  <w:r w:rsidRPr="000B34D4">
                    <w:rPr>
                      <w:rFonts w:eastAsia="宋体"/>
                      <w:color w:val="auto"/>
                      <w:sz w:val="18"/>
                      <w:szCs w:val="18"/>
                    </w:rPr>
                    <w:t>014</w:t>
                  </w:r>
                  <w:r w:rsidRPr="000B34D4">
                    <w:rPr>
                      <w:rFonts w:eastAsia="宋体"/>
                      <w:color w:val="auto"/>
                      <w:sz w:val="18"/>
                      <w:szCs w:val="18"/>
                    </w:rPr>
                    <w:t>）</w:t>
                  </w:r>
                </w:p>
              </w:tc>
            </w:tr>
            <w:tr w:rsidR="000B34D4" w:rsidRPr="00EC1A52" w14:paraId="5C286E80" w14:textId="77777777" w:rsidTr="00EC1A52">
              <w:tc>
                <w:tcPr>
                  <w:tcW w:w="316" w:type="dxa"/>
                  <w:vMerge/>
                  <w:shd w:val="clear" w:color="auto" w:fill="BDD6EE" w:themeFill="accent5" w:themeFillTint="66"/>
                </w:tcPr>
                <w:p w14:paraId="5395BA46"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477" w:type="dxa"/>
                  <w:vMerge/>
                  <w:shd w:val="clear" w:color="auto" w:fill="BDD6EE" w:themeFill="accent5" w:themeFillTint="66"/>
                </w:tcPr>
                <w:p w14:paraId="3217F050"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1363" w:type="dxa"/>
                  <w:shd w:val="clear" w:color="auto" w:fill="BDD6EE" w:themeFill="accent5" w:themeFillTint="66"/>
                </w:tcPr>
                <w:p w14:paraId="5B6B0195"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LOLAEL</w:t>
                  </w:r>
                  <w:r w:rsidRPr="000B34D4">
                    <w:rPr>
                      <w:rFonts w:eastAsia="宋体"/>
                      <w:color w:val="auto"/>
                      <w:sz w:val="18"/>
                      <w:szCs w:val="18"/>
                    </w:rPr>
                    <w:t>到</w:t>
                  </w:r>
                  <w:r w:rsidRPr="000B34D4">
                    <w:rPr>
                      <w:rFonts w:eastAsia="宋体"/>
                      <w:color w:val="auto"/>
                      <w:sz w:val="18"/>
                      <w:szCs w:val="18"/>
                    </w:rPr>
                    <w:t>NOAEL</w:t>
                  </w:r>
                  <w:r w:rsidRPr="000B34D4">
                    <w:rPr>
                      <w:rFonts w:eastAsia="宋体" w:hint="eastAsia"/>
                      <w:color w:val="auto"/>
                      <w:sz w:val="18"/>
                      <w:szCs w:val="18"/>
                    </w:rPr>
                    <w:t>（</w:t>
                  </w:r>
                  <w:r w:rsidRPr="000B34D4">
                    <w:rPr>
                      <w:rFonts w:eastAsia="宋体" w:hint="eastAsia"/>
                      <w:color w:val="auto"/>
                      <w:sz w:val="18"/>
                      <w:szCs w:val="18"/>
                    </w:rPr>
                    <w:t>F</w:t>
                  </w:r>
                  <w:r w:rsidRPr="000B34D4">
                    <w:rPr>
                      <w:rFonts w:eastAsia="宋体"/>
                      <w:color w:val="auto"/>
                      <w:sz w:val="18"/>
                      <w:szCs w:val="18"/>
                    </w:rPr>
                    <w:t>5;UF</w:t>
                  </w:r>
                  <w:r w:rsidRPr="000B34D4">
                    <w:rPr>
                      <w:rFonts w:eastAsia="宋体"/>
                      <w:color w:val="auto"/>
                      <w:sz w:val="18"/>
                      <w:szCs w:val="18"/>
                      <w:vertAlign w:val="subscript"/>
                    </w:rPr>
                    <w:t>L</w:t>
                  </w:r>
                  <w:r w:rsidRPr="000B34D4">
                    <w:rPr>
                      <w:rFonts w:eastAsia="宋体" w:hint="eastAsia"/>
                      <w:color w:val="auto"/>
                      <w:sz w:val="18"/>
                      <w:szCs w:val="18"/>
                    </w:rPr>
                    <w:t>）</w:t>
                  </w:r>
                </w:p>
              </w:tc>
              <w:tc>
                <w:tcPr>
                  <w:tcW w:w="2078" w:type="dxa"/>
                </w:tcPr>
                <w:p w14:paraId="332886C6"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2</w:t>
                  </w:r>
                  <w:r w:rsidRPr="000B34D4">
                    <w:rPr>
                      <w:rFonts w:eastAsia="宋体" w:hint="eastAsia"/>
                      <w:color w:val="auto"/>
                      <w:sz w:val="18"/>
                      <w:szCs w:val="18"/>
                    </w:rPr>
                    <w:t>未定义</w:t>
                  </w:r>
                  <w:r w:rsidRPr="000B34D4">
                    <w:rPr>
                      <w:rFonts w:eastAsia="宋体" w:hint="eastAsia"/>
                      <w:color w:val="auto"/>
                      <w:sz w:val="18"/>
                      <w:szCs w:val="18"/>
                    </w:rPr>
                    <w:t>N</w:t>
                  </w:r>
                  <w:r w:rsidRPr="000B34D4">
                    <w:rPr>
                      <w:rFonts w:eastAsia="宋体"/>
                      <w:color w:val="auto"/>
                      <w:sz w:val="18"/>
                      <w:szCs w:val="18"/>
                    </w:rPr>
                    <w:t>OAEL</w:t>
                  </w:r>
                  <w:r w:rsidRPr="000B34D4">
                    <w:rPr>
                      <w:rFonts w:eastAsia="宋体"/>
                      <w:color w:val="auto"/>
                      <w:sz w:val="18"/>
                      <w:szCs w:val="18"/>
                    </w:rPr>
                    <w:t>时的默认因子</w:t>
                  </w:r>
                  <w:r w:rsidRPr="000B34D4">
                    <w:rPr>
                      <w:rFonts w:eastAsia="宋体" w:hint="eastAsia"/>
                      <w:color w:val="auto"/>
                      <w:sz w:val="18"/>
                      <w:szCs w:val="18"/>
                    </w:rPr>
                    <w:t>（</w:t>
                  </w:r>
                  <w:r w:rsidRPr="000B34D4">
                    <w:rPr>
                      <w:rFonts w:eastAsia="宋体" w:hint="eastAsia"/>
                      <w:color w:val="auto"/>
                      <w:sz w:val="18"/>
                      <w:szCs w:val="18"/>
                    </w:rPr>
                    <w:t>E</w:t>
                  </w:r>
                  <w:r w:rsidRPr="000B34D4">
                    <w:rPr>
                      <w:rFonts w:eastAsia="宋体"/>
                      <w:color w:val="auto"/>
                      <w:sz w:val="18"/>
                      <w:szCs w:val="18"/>
                    </w:rPr>
                    <w:t>CHA,2012;ISPE</w:t>
                  </w:r>
                  <w:r w:rsidRPr="000B34D4">
                    <w:rPr>
                      <w:rFonts w:eastAsia="宋体"/>
                      <w:color w:val="auto"/>
                      <w:sz w:val="18"/>
                      <w:szCs w:val="18"/>
                    </w:rPr>
                    <w:t>，</w:t>
                  </w:r>
                  <w:r w:rsidRPr="000B34D4">
                    <w:rPr>
                      <w:rFonts w:eastAsia="宋体" w:hint="eastAsia"/>
                      <w:color w:val="auto"/>
                      <w:sz w:val="18"/>
                      <w:szCs w:val="18"/>
                    </w:rPr>
                    <w:t>2</w:t>
                  </w:r>
                  <w:r w:rsidRPr="000B34D4">
                    <w:rPr>
                      <w:rFonts w:eastAsia="宋体"/>
                      <w:color w:val="auto"/>
                      <w:sz w:val="18"/>
                      <w:szCs w:val="18"/>
                    </w:rPr>
                    <w:t>010</w:t>
                  </w:r>
                  <w:r w:rsidRPr="000B34D4">
                    <w:rPr>
                      <w:rFonts w:eastAsia="宋体" w:hint="eastAsia"/>
                      <w:color w:val="auto"/>
                      <w:sz w:val="18"/>
                      <w:szCs w:val="18"/>
                    </w:rPr>
                    <w:t>）</w:t>
                  </w:r>
                </w:p>
              </w:tc>
              <w:tc>
                <w:tcPr>
                  <w:tcW w:w="2078" w:type="dxa"/>
                  <w:gridSpan w:val="2"/>
                </w:tcPr>
                <w:p w14:paraId="34C72502"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3</w:t>
                  </w:r>
                  <w:r w:rsidRPr="000B34D4">
                    <w:rPr>
                      <w:rFonts w:eastAsia="宋体" w:hint="eastAsia"/>
                      <w:color w:val="auto"/>
                      <w:sz w:val="18"/>
                      <w:szCs w:val="18"/>
                    </w:rPr>
                    <w:t>未定义</w:t>
                  </w:r>
                  <w:r w:rsidRPr="000B34D4">
                    <w:rPr>
                      <w:rFonts w:eastAsia="宋体" w:hint="eastAsia"/>
                      <w:color w:val="auto"/>
                      <w:sz w:val="18"/>
                      <w:szCs w:val="18"/>
                    </w:rPr>
                    <w:t>N</w:t>
                  </w:r>
                  <w:r w:rsidRPr="000B34D4">
                    <w:rPr>
                      <w:rFonts w:eastAsia="宋体"/>
                      <w:color w:val="auto"/>
                      <w:sz w:val="18"/>
                      <w:szCs w:val="18"/>
                    </w:rPr>
                    <w:t>OAEL</w:t>
                  </w:r>
                  <w:r w:rsidRPr="000B34D4">
                    <w:rPr>
                      <w:rFonts w:eastAsia="宋体"/>
                      <w:color w:val="auto"/>
                      <w:sz w:val="18"/>
                      <w:szCs w:val="18"/>
                    </w:rPr>
                    <w:t>时的默认因子</w:t>
                  </w:r>
                  <w:r w:rsidRPr="000B34D4">
                    <w:rPr>
                      <w:rFonts w:eastAsia="宋体" w:hint="eastAsia"/>
                      <w:color w:val="auto"/>
                      <w:sz w:val="18"/>
                      <w:szCs w:val="18"/>
                    </w:rPr>
                    <w:t>（</w:t>
                  </w:r>
                  <w:r w:rsidRPr="000B34D4">
                    <w:rPr>
                      <w:rFonts w:eastAsia="宋体" w:hint="eastAsia"/>
                      <w:color w:val="auto"/>
                      <w:sz w:val="18"/>
                      <w:szCs w:val="18"/>
                    </w:rPr>
                    <w:t>E</w:t>
                  </w:r>
                  <w:r w:rsidRPr="000B34D4">
                    <w:rPr>
                      <w:rFonts w:eastAsia="宋体"/>
                      <w:color w:val="auto"/>
                      <w:sz w:val="18"/>
                      <w:szCs w:val="18"/>
                    </w:rPr>
                    <w:t>CHA,2012;ISPE</w:t>
                  </w:r>
                  <w:r w:rsidRPr="000B34D4">
                    <w:rPr>
                      <w:rFonts w:eastAsia="宋体"/>
                      <w:color w:val="auto"/>
                      <w:sz w:val="18"/>
                      <w:szCs w:val="18"/>
                    </w:rPr>
                    <w:t>，</w:t>
                  </w:r>
                  <w:r w:rsidRPr="000B34D4">
                    <w:rPr>
                      <w:rFonts w:eastAsia="宋体" w:hint="eastAsia"/>
                      <w:color w:val="auto"/>
                      <w:sz w:val="18"/>
                      <w:szCs w:val="18"/>
                    </w:rPr>
                    <w:t>2</w:t>
                  </w:r>
                  <w:r w:rsidRPr="000B34D4">
                    <w:rPr>
                      <w:rFonts w:eastAsia="宋体"/>
                      <w:color w:val="auto"/>
                      <w:sz w:val="18"/>
                      <w:szCs w:val="18"/>
                    </w:rPr>
                    <w:t>010</w:t>
                  </w:r>
                  <w:r w:rsidRPr="000B34D4">
                    <w:rPr>
                      <w:rFonts w:eastAsia="宋体" w:hint="eastAsia"/>
                      <w:color w:val="auto"/>
                      <w:sz w:val="18"/>
                      <w:szCs w:val="18"/>
                    </w:rPr>
                    <w:t>）</w:t>
                  </w:r>
                </w:p>
              </w:tc>
              <w:tc>
                <w:tcPr>
                  <w:tcW w:w="2078" w:type="dxa"/>
                </w:tcPr>
                <w:p w14:paraId="56E397B7"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2</w:t>
                  </w:r>
                  <w:r w:rsidRPr="000B34D4">
                    <w:rPr>
                      <w:rFonts w:eastAsia="宋体" w:hint="eastAsia"/>
                      <w:color w:val="auto"/>
                      <w:sz w:val="18"/>
                      <w:szCs w:val="18"/>
                    </w:rPr>
                    <w:t>未定义</w:t>
                  </w:r>
                  <w:r w:rsidRPr="000B34D4">
                    <w:rPr>
                      <w:rFonts w:eastAsia="宋体" w:hint="eastAsia"/>
                      <w:color w:val="auto"/>
                      <w:sz w:val="18"/>
                      <w:szCs w:val="18"/>
                    </w:rPr>
                    <w:t>N</w:t>
                  </w:r>
                  <w:r w:rsidRPr="000B34D4">
                    <w:rPr>
                      <w:rFonts w:eastAsia="宋体"/>
                      <w:color w:val="auto"/>
                      <w:sz w:val="18"/>
                      <w:szCs w:val="18"/>
                    </w:rPr>
                    <w:t>OAEL</w:t>
                  </w:r>
                  <w:r w:rsidRPr="000B34D4">
                    <w:rPr>
                      <w:rFonts w:eastAsia="宋体"/>
                      <w:color w:val="auto"/>
                      <w:sz w:val="18"/>
                      <w:szCs w:val="18"/>
                    </w:rPr>
                    <w:t>时的默认因子</w:t>
                  </w:r>
                  <w:r w:rsidRPr="000B34D4">
                    <w:rPr>
                      <w:rFonts w:eastAsia="宋体" w:hint="eastAsia"/>
                      <w:color w:val="auto"/>
                      <w:sz w:val="18"/>
                      <w:szCs w:val="18"/>
                    </w:rPr>
                    <w:t>（</w:t>
                  </w:r>
                  <w:r w:rsidRPr="000B34D4">
                    <w:rPr>
                      <w:rFonts w:eastAsia="宋体" w:hint="eastAsia"/>
                      <w:color w:val="auto"/>
                      <w:sz w:val="18"/>
                      <w:szCs w:val="18"/>
                    </w:rPr>
                    <w:t>E</w:t>
                  </w:r>
                  <w:r w:rsidRPr="000B34D4">
                    <w:rPr>
                      <w:rFonts w:eastAsia="宋体"/>
                      <w:color w:val="auto"/>
                      <w:sz w:val="18"/>
                      <w:szCs w:val="18"/>
                    </w:rPr>
                    <w:t>CHA,2012;ISPE</w:t>
                  </w:r>
                  <w:r w:rsidRPr="000B34D4">
                    <w:rPr>
                      <w:rFonts w:eastAsia="宋体"/>
                      <w:color w:val="auto"/>
                      <w:sz w:val="18"/>
                      <w:szCs w:val="18"/>
                    </w:rPr>
                    <w:t>，</w:t>
                  </w:r>
                  <w:r w:rsidRPr="000B34D4">
                    <w:rPr>
                      <w:rFonts w:eastAsia="宋体" w:hint="eastAsia"/>
                      <w:color w:val="auto"/>
                      <w:sz w:val="18"/>
                      <w:szCs w:val="18"/>
                    </w:rPr>
                    <w:t>2</w:t>
                  </w:r>
                  <w:r w:rsidRPr="000B34D4">
                    <w:rPr>
                      <w:rFonts w:eastAsia="宋体"/>
                      <w:color w:val="auto"/>
                      <w:sz w:val="18"/>
                      <w:szCs w:val="18"/>
                    </w:rPr>
                    <w:t>010</w:t>
                  </w:r>
                  <w:r w:rsidRPr="000B34D4">
                    <w:rPr>
                      <w:rFonts w:eastAsia="宋体" w:hint="eastAsia"/>
                      <w:color w:val="auto"/>
                      <w:sz w:val="18"/>
                      <w:szCs w:val="18"/>
                    </w:rPr>
                    <w:t>）</w:t>
                  </w:r>
                </w:p>
              </w:tc>
              <w:tc>
                <w:tcPr>
                  <w:tcW w:w="1480" w:type="dxa"/>
                </w:tcPr>
                <w:p w14:paraId="74402716"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3</w:t>
                  </w:r>
                  <w:r w:rsidRPr="000B34D4">
                    <w:rPr>
                      <w:rFonts w:eastAsia="宋体" w:hint="eastAsia"/>
                      <w:color w:val="auto"/>
                      <w:sz w:val="18"/>
                      <w:szCs w:val="18"/>
                    </w:rPr>
                    <w:t>未定义</w:t>
                  </w:r>
                  <w:r w:rsidRPr="000B34D4">
                    <w:rPr>
                      <w:rFonts w:eastAsia="宋体" w:hint="eastAsia"/>
                      <w:color w:val="auto"/>
                      <w:sz w:val="18"/>
                      <w:szCs w:val="18"/>
                    </w:rPr>
                    <w:t>N</w:t>
                  </w:r>
                  <w:r w:rsidRPr="000B34D4">
                    <w:rPr>
                      <w:rFonts w:eastAsia="宋体"/>
                      <w:color w:val="auto"/>
                      <w:sz w:val="18"/>
                      <w:szCs w:val="18"/>
                    </w:rPr>
                    <w:t>OAEL</w:t>
                  </w:r>
                  <w:r w:rsidRPr="000B34D4">
                    <w:rPr>
                      <w:rFonts w:eastAsia="宋体"/>
                      <w:color w:val="auto"/>
                      <w:sz w:val="18"/>
                      <w:szCs w:val="18"/>
                    </w:rPr>
                    <w:t>时的默认因子</w:t>
                  </w:r>
                  <w:r w:rsidRPr="000B34D4">
                    <w:rPr>
                      <w:rFonts w:eastAsia="宋体" w:hint="eastAsia"/>
                      <w:color w:val="auto"/>
                      <w:sz w:val="18"/>
                      <w:szCs w:val="18"/>
                    </w:rPr>
                    <w:t>（</w:t>
                  </w:r>
                  <w:r w:rsidRPr="000B34D4">
                    <w:rPr>
                      <w:rFonts w:eastAsia="宋体" w:hint="eastAsia"/>
                      <w:color w:val="auto"/>
                      <w:sz w:val="18"/>
                      <w:szCs w:val="18"/>
                    </w:rPr>
                    <w:t>E</w:t>
                  </w:r>
                  <w:r w:rsidRPr="000B34D4">
                    <w:rPr>
                      <w:rFonts w:eastAsia="宋体"/>
                      <w:color w:val="auto"/>
                      <w:sz w:val="18"/>
                      <w:szCs w:val="18"/>
                    </w:rPr>
                    <w:t>CHA,2012;ISPE</w:t>
                  </w:r>
                  <w:r w:rsidRPr="000B34D4">
                    <w:rPr>
                      <w:rFonts w:eastAsia="宋体"/>
                      <w:color w:val="auto"/>
                      <w:sz w:val="18"/>
                      <w:szCs w:val="18"/>
                    </w:rPr>
                    <w:t>，</w:t>
                  </w:r>
                  <w:r w:rsidRPr="000B34D4">
                    <w:rPr>
                      <w:rFonts w:eastAsia="宋体" w:hint="eastAsia"/>
                      <w:color w:val="auto"/>
                      <w:sz w:val="18"/>
                      <w:szCs w:val="18"/>
                    </w:rPr>
                    <w:t>2</w:t>
                  </w:r>
                  <w:r w:rsidRPr="000B34D4">
                    <w:rPr>
                      <w:rFonts w:eastAsia="宋体"/>
                      <w:color w:val="auto"/>
                      <w:sz w:val="18"/>
                      <w:szCs w:val="18"/>
                    </w:rPr>
                    <w:t>010</w:t>
                  </w:r>
                  <w:r w:rsidRPr="000B34D4">
                    <w:rPr>
                      <w:rFonts w:eastAsia="宋体" w:hint="eastAsia"/>
                      <w:color w:val="auto"/>
                      <w:sz w:val="18"/>
                      <w:szCs w:val="18"/>
                    </w:rPr>
                    <w:t>）</w:t>
                  </w:r>
                </w:p>
              </w:tc>
            </w:tr>
            <w:tr w:rsidR="000B34D4" w:rsidRPr="00EC1A52" w14:paraId="580AF56A" w14:textId="77777777" w:rsidTr="00EC1A52">
              <w:tc>
                <w:tcPr>
                  <w:tcW w:w="316" w:type="dxa"/>
                  <w:vMerge/>
                  <w:shd w:val="clear" w:color="auto" w:fill="BDD6EE" w:themeFill="accent5" w:themeFillTint="66"/>
                </w:tcPr>
                <w:p w14:paraId="162419EA"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477" w:type="dxa"/>
                  <w:vMerge/>
                  <w:shd w:val="clear" w:color="auto" w:fill="BDD6EE" w:themeFill="accent5" w:themeFillTint="66"/>
                </w:tcPr>
                <w:p w14:paraId="0202F1B1"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1363" w:type="dxa"/>
                  <w:shd w:val="clear" w:color="auto" w:fill="BDD6EE" w:themeFill="accent5" w:themeFillTint="66"/>
                </w:tcPr>
                <w:p w14:paraId="45FEB1F2"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曝光时间（</w:t>
                  </w:r>
                  <w:r w:rsidRPr="000B34D4">
                    <w:rPr>
                      <w:rFonts w:eastAsia="宋体" w:hint="eastAsia"/>
                      <w:color w:val="auto"/>
                      <w:sz w:val="18"/>
                      <w:szCs w:val="18"/>
                    </w:rPr>
                    <w:t>F</w:t>
                  </w:r>
                  <w:r w:rsidRPr="000B34D4">
                    <w:rPr>
                      <w:rFonts w:eastAsia="宋体"/>
                      <w:color w:val="auto"/>
                      <w:sz w:val="18"/>
                      <w:szCs w:val="18"/>
                    </w:rPr>
                    <w:t>3;UF</w:t>
                  </w:r>
                  <w:r w:rsidRPr="000B34D4">
                    <w:rPr>
                      <w:rFonts w:eastAsia="宋体"/>
                      <w:color w:val="auto"/>
                      <w:sz w:val="18"/>
                      <w:szCs w:val="18"/>
                      <w:vertAlign w:val="subscript"/>
                    </w:rPr>
                    <w:t>S</w:t>
                  </w:r>
                  <w:r w:rsidRPr="000B34D4">
                    <w:rPr>
                      <w:rFonts w:eastAsia="宋体" w:hint="eastAsia"/>
                      <w:color w:val="auto"/>
                      <w:sz w:val="18"/>
                      <w:szCs w:val="18"/>
                    </w:rPr>
                    <w:t>）</w:t>
                  </w:r>
                </w:p>
              </w:tc>
              <w:tc>
                <w:tcPr>
                  <w:tcW w:w="4156" w:type="dxa"/>
                  <w:gridSpan w:val="3"/>
                </w:tcPr>
                <w:p w14:paraId="56FD75EB"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hint="eastAsia"/>
                      <w:color w:val="auto"/>
                      <w:sz w:val="18"/>
                      <w:szCs w:val="18"/>
                    </w:rPr>
                    <w:t>慢性治疗持续时间</w:t>
                  </w:r>
                </w:p>
              </w:tc>
              <w:tc>
                <w:tcPr>
                  <w:tcW w:w="3558" w:type="dxa"/>
                  <w:gridSpan w:val="2"/>
                </w:tcPr>
                <w:p w14:paraId="54A1A385"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hint="eastAsia"/>
                      <w:color w:val="auto"/>
                      <w:sz w:val="18"/>
                      <w:szCs w:val="18"/>
                    </w:rPr>
                    <w:t>慢性治疗持续时间</w:t>
                  </w:r>
                </w:p>
              </w:tc>
            </w:tr>
            <w:tr w:rsidR="000B34D4" w:rsidRPr="00EC1A52" w14:paraId="2374DF13" w14:textId="77777777" w:rsidTr="00EC1A52">
              <w:tc>
                <w:tcPr>
                  <w:tcW w:w="316" w:type="dxa"/>
                  <w:vMerge/>
                  <w:shd w:val="clear" w:color="auto" w:fill="BDD6EE" w:themeFill="accent5" w:themeFillTint="66"/>
                </w:tcPr>
                <w:p w14:paraId="3775C404"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477" w:type="dxa"/>
                  <w:vMerge/>
                  <w:shd w:val="clear" w:color="auto" w:fill="BDD6EE" w:themeFill="accent5" w:themeFillTint="66"/>
                </w:tcPr>
                <w:p w14:paraId="3BEDA57F"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1363" w:type="dxa"/>
                  <w:shd w:val="clear" w:color="auto" w:fill="BDD6EE" w:themeFill="accent5" w:themeFillTint="66"/>
                </w:tcPr>
                <w:p w14:paraId="26F2BD06"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数据完整性（</w:t>
                  </w:r>
                  <w:r w:rsidRPr="000B34D4">
                    <w:rPr>
                      <w:rFonts w:eastAsia="宋体" w:hint="eastAsia"/>
                      <w:color w:val="auto"/>
                      <w:sz w:val="18"/>
                      <w:szCs w:val="18"/>
                    </w:rPr>
                    <w:t>U</w:t>
                  </w:r>
                  <w:r w:rsidRPr="000B34D4">
                    <w:rPr>
                      <w:rFonts w:eastAsia="宋体"/>
                      <w:color w:val="auto"/>
                      <w:sz w:val="18"/>
                      <w:szCs w:val="18"/>
                    </w:rPr>
                    <w:t>F</w:t>
                  </w:r>
                  <w:r w:rsidRPr="000B34D4">
                    <w:rPr>
                      <w:rFonts w:eastAsia="宋体"/>
                      <w:color w:val="auto"/>
                      <w:sz w:val="18"/>
                      <w:szCs w:val="18"/>
                      <w:vertAlign w:val="subscript"/>
                    </w:rPr>
                    <w:t>D</w:t>
                  </w:r>
                  <w:r w:rsidRPr="000B34D4">
                    <w:rPr>
                      <w:rFonts w:eastAsia="宋体" w:hint="eastAsia"/>
                      <w:color w:val="auto"/>
                      <w:sz w:val="18"/>
                      <w:szCs w:val="18"/>
                    </w:rPr>
                    <w:t>）</w:t>
                  </w:r>
                </w:p>
              </w:tc>
              <w:tc>
                <w:tcPr>
                  <w:tcW w:w="4156" w:type="dxa"/>
                  <w:gridSpan w:val="3"/>
                </w:tcPr>
                <w:p w14:paraId="494A5862"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hint="eastAsia"/>
                      <w:color w:val="auto"/>
                      <w:sz w:val="18"/>
                      <w:szCs w:val="18"/>
                    </w:rPr>
                    <w:t>数据集完整，数据质量充足</w:t>
                  </w:r>
                </w:p>
              </w:tc>
              <w:tc>
                <w:tcPr>
                  <w:tcW w:w="3558" w:type="dxa"/>
                  <w:gridSpan w:val="2"/>
                </w:tcPr>
                <w:p w14:paraId="442D9333"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hint="eastAsia"/>
                      <w:color w:val="auto"/>
                      <w:sz w:val="18"/>
                      <w:szCs w:val="18"/>
                    </w:rPr>
                    <w:t>数据集完整，数据质量充足</w:t>
                  </w:r>
                </w:p>
              </w:tc>
            </w:tr>
            <w:tr w:rsidR="000B34D4" w:rsidRPr="00EC1A52" w14:paraId="4BA0C173" w14:textId="77777777" w:rsidTr="00EC1A52">
              <w:tc>
                <w:tcPr>
                  <w:tcW w:w="316" w:type="dxa"/>
                  <w:vMerge/>
                  <w:shd w:val="clear" w:color="auto" w:fill="BDD6EE" w:themeFill="accent5" w:themeFillTint="66"/>
                </w:tcPr>
                <w:p w14:paraId="559EA3AF"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477" w:type="dxa"/>
                  <w:vMerge/>
                  <w:shd w:val="clear" w:color="auto" w:fill="BDD6EE" w:themeFill="accent5" w:themeFillTint="66"/>
                </w:tcPr>
                <w:p w14:paraId="41FA4ADD"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1363" w:type="dxa"/>
                  <w:shd w:val="clear" w:color="auto" w:fill="BDD6EE" w:themeFill="accent5" w:themeFillTint="66"/>
                </w:tcPr>
                <w:p w14:paraId="3A16D568"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影响的严重性（</w:t>
                  </w:r>
                  <w:r w:rsidRPr="000B34D4">
                    <w:rPr>
                      <w:rFonts w:eastAsia="宋体" w:hint="eastAsia"/>
                      <w:color w:val="auto"/>
                      <w:sz w:val="18"/>
                      <w:szCs w:val="18"/>
                    </w:rPr>
                    <w:t>F</w:t>
                  </w:r>
                  <w:r w:rsidRPr="000B34D4">
                    <w:rPr>
                      <w:rFonts w:eastAsia="宋体"/>
                      <w:color w:val="auto"/>
                      <w:sz w:val="18"/>
                      <w:szCs w:val="18"/>
                    </w:rPr>
                    <w:t>4</w:t>
                  </w:r>
                  <w:r w:rsidRPr="000B34D4">
                    <w:rPr>
                      <w:rFonts w:eastAsia="宋体" w:hint="eastAsia"/>
                      <w:color w:val="auto"/>
                      <w:sz w:val="18"/>
                      <w:szCs w:val="18"/>
                    </w:rPr>
                    <w:t>）</w:t>
                  </w:r>
                </w:p>
              </w:tc>
              <w:tc>
                <w:tcPr>
                  <w:tcW w:w="4156" w:type="dxa"/>
                  <w:gridSpan w:val="3"/>
                </w:tcPr>
                <w:p w14:paraId="1905B772"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hint="eastAsia"/>
                      <w:color w:val="auto"/>
                      <w:sz w:val="18"/>
                      <w:szCs w:val="18"/>
                    </w:rPr>
                    <w:t>基于公司指导</w:t>
                  </w:r>
                </w:p>
              </w:tc>
              <w:tc>
                <w:tcPr>
                  <w:tcW w:w="3558" w:type="dxa"/>
                  <w:gridSpan w:val="2"/>
                </w:tcPr>
                <w:p w14:paraId="0B5B60E4"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hint="eastAsia"/>
                      <w:color w:val="auto"/>
                      <w:sz w:val="18"/>
                      <w:szCs w:val="18"/>
                    </w:rPr>
                    <w:t>基于公司指导</w:t>
                  </w:r>
                </w:p>
              </w:tc>
            </w:tr>
            <w:tr w:rsidR="000B34D4" w:rsidRPr="00EC1A52" w14:paraId="52A81E50" w14:textId="77777777" w:rsidTr="00EC1A52">
              <w:tc>
                <w:tcPr>
                  <w:tcW w:w="316" w:type="dxa"/>
                  <w:vMerge/>
                  <w:shd w:val="clear" w:color="auto" w:fill="BDD6EE" w:themeFill="accent5" w:themeFillTint="66"/>
                </w:tcPr>
                <w:p w14:paraId="712A4293"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477" w:type="dxa"/>
                  <w:vMerge/>
                  <w:shd w:val="clear" w:color="auto" w:fill="BDD6EE" w:themeFill="accent5" w:themeFillTint="66"/>
                </w:tcPr>
                <w:p w14:paraId="7D48ED85"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1363" w:type="dxa"/>
                  <w:shd w:val="clear" w:color="auto" w:fill="BDD6EE" w:themeFill="accent5" w:themeFillTint="66"/>
                </w:tcPr>
                <w:p w14:paraId="71CD0BB6"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积累因子（</w:t>
                  </w:r>
                  <w:r w:rsidRPr="000B34D4">
                    <w:rPr>
                      <w:rFonts w:eastAsia="宋体" w:hint="eastAsia"/>
                      <w:color w:val="auto"/>
                      <w:sz w:val="18"/>
                      <w:szCs w:val="18"/>
                    </w:rPr>
                    <w:t>P</w:t>
                  </w:r>
                  <w:r w:rsidRPr="000B34D4">
                    <w:rPr>
                      <w:rFonts w:eastAsia="宋体"/>
                      <w:color w:val="auto"/>
                      <w:sz w:val="18"/>
                      <w:szCs w:val="18"/>
                    </w:rPr>
                    <w:t>K-AF</w:t>
                  </w:r>
                  <w:r w:rsidRPr="000B34D4">
                    <w:rPr>
                      <w:rFonts w:eastAsia="宋体" w:hint="eastAsia"/>
                      <w:color w:val="auto"/>
                      <w:sz w:val="18"/>
                      <w:szCs w:val="18"/>
                    </w:rPr>
                    <w:t>）</w:t>
                  </w:r>
                </w:p>
              </w:tc>
              <w:tc>
                <w:tcPr>
                  <w:tcW w:w="4156" w:type="dxa"/>
                  <w:gridSpan w:val="3"/>
                </w:tcPr>
                <w:p w14:paraId="624743D2"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hint="eastAsia"/>
                      <w:color w:val="auto"/>
                      <w:sz w:val="18"/>
                      <w:szCs w:val="18"/>
                    </w:rPr>
                    <w:t>没有报告</w:t>
                  </w:r>
                </w:p>
              </w:tc>
              <w:tc>
                <w:tcPr>
                  <w:tcW w:w="3558" w:type="dxa"/>
                  <w:gridSpan w:val="2"/>
                </w:tcPr>
                <w:p w14:paraId="6301AF1F"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hint="eastAsia"/>
                      <w:color w:val="auto"/>
                      <w:sz w:val="18"/>
                      <w:szCs w:val="18"/>
                    </w:rPr>
                    <w:t>没有报告</w:t>
                  </w:r>
                </w:p>
              </w:tc>
            </w:tr>
            <w:tr w:rsidR="000B34D4" w:rsidRPr="00EC1A52" w14:paraId="4AB005B4" w14:textId="77777777" w:rsidTr="00EC1A52">
              <w:tc>
                <w:tcPr>
                  <w:tcW w:w="316" w:type="dxa"/>
                  <w:vMerge/>
                  <w:shd w:val="clear" w:color="auto" w:fill="BDD6EE" w:themeFill="accent5" w:themeFillTint="66"/>
                </w:tcPr>
                <w:p w14:paraId="169FCC0A"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477" w:type="dxa"/>
                  <w:vMerge/>
                  <w:shd w:val="clear" w:color="auto" w:fill="BDD6EE" w:themeFill="accent5" w:themeFillTint="66"/>
                </w:tcPr>
                <w:p w14:paraId="0B636178"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1363" w:type="dxa"/>
                  <w:shd w:val="clear" w:color="auto" w:fill="BDD6EE" w:themeFill="accent5" w:themeFillTint="66"/>
                </w:tcPr>
                <w:p w14:paraId="7E9EF728"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吸收性（α；</w:t>
                  </w:r>
                  <w:r w:rsidRPr="000B34D4">
                    <w:rPr>
                      <w:rFonts w:eastAsia="宋体" w:hint="eastAsia"/>
                      <w:color w:val="auto"/>
                      <w:sz w:val="18"/>
                      <w:szCs w:val="18"/>
                    </w:rPr>
                    <w:t>P</w:t>
                  </w:r>
                  <w:r w:rsidRPr="000B34D4">
                    <w:rPr>
                      <w:rFonts w:eastAsia="宋体"/>
                      <w:color w:val="auto"/>
                      <w:sz w:val="18"/>
                      <w:szCs w:val="18"/>
                    </w:rPr>
                    <w:t>K-ABS</w:t>
                  </w:r>
                  <w:r w:rsidRPr="000B34D4">
                    <w:rPr>
                      <w:rFonts w:eastAsia="宋体" w:hint="eastAsia"/>
                      <w:color w:val="auto"/>
                      <w:sz w:val="18"/>
                      <w:szCs w:val="18"/>
                    </w:rPr>
                    <w:t>）</w:t>
                  </w:r>
                </w:p>
              </w:tc>
              <w:tc>
                <w:tcPr>
                  <w:tcW w:w="4156" w:type="dxa"/>
                  <w:gridSpan w:val="3"/>
                </w:tcPr>
                <w:p w14:paraId="337CAD12"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hint="eastAsia"/>
                      <w:color w:val="auto"/>
                      <w:sz w:val="18"/>
                      <w:szCs w:val="18"/>
                    </w:rPr>
                    <w:t>不需要</w:t>
                  </w:r>
                </w:p>
              </w:tc>
              <w:tc>
                <w:tcPr>
                  <w:tcW w:w="3558" w:type="dxa"/>
                  <w:gridSpan w:val="2"/>
                </w:tcPr>
                <w:p w14:paraId="510868F9"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hint="eastAsia"/>
                      <w:color w:val="auto"/>
                      <w:sz w:val="18"/>
                      <w:szCs w:val="18"/>
                    </w:rPr>
                    <w:t>不需要</w:t>
                  </w:r>
                </w:p>
              </w:tc>
            </w:tr>
            <w:tr w:rsidR="000B34D4" w:rsidRPr="00EC1A52" w14:paraId="718AC3DB" w14:textId="77777777" w:rsidTr="00EC1A52">
              <w:tc>
                <w:tcPr>
                  <w:tcW w:w="316" w:type="dxa"/>
                  <w:vMerge/>
                  <w:shd w:val="clear" w:color="auto" w:fill="BDD6EE" w:themeFill="accent5" w:themeFillTint="66"/>
                </w:tcPr>
                <w:p w14:paraId="5DD79DC9"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p>
              </w:tc>
              <w:tc>
                <w:tcPr>
                  <w:tcW w:w="1840" w:type="dxa"/>
                  <w:gridSpan w:val="2"/>
                  <w:shd w:val="clear" w:color="auto" w:fill="BDD6EE" w:themeFill="accent5" w:themeFillTint="66"/>
                </w:tcPr>
                <w:p w14:paraId="33CD083B"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复合调整因子（</w:t>
                  </w:r>
                  <w:r w:rsidRPr="000B34D4">
                    <w:rPr>
                      <w:rFonts w:eastAsia="宋体" w:hint="eastAsia"/>
                      <w:color w:val="auto"/>
                      <w:sz w:val="18"/>
                      <w:szCs w:val="18"/>
                    </w:rPr>
                    <w:t>F</w:t>
                  </w:r>
                  <w:r w:rsidRPr="000B34D4">
                    <w:rPr>
                      <w:rFonts w:eastAsia="宋体"/>
                      <w:color w:val="auto"/>
                      <w:sz w:val="18"/>
                      <w:szCs w:val="18"/>
                      <w:vertAlign w:val="subscript"/>
                    </w:rPr>
                    <w:t>T</w:t>
                  </w:r>
                  <w:r w:rsidRPr="000B34D4">
                    <w:rPr>
                      <w:rFonts w:eastAsia="宋体" w:hint="eastAsia"/>
                      <w:color w:val="auto"/>
                      <w:sz w:val="18"/>
                      <w:szCs w:val="18"/>
                    </w:rPr>
                    <w:t>）</w:t>
                  </w:r>
                </w:p>
                <w:p w14:paraId="5BC17B9A"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所有</w:t>
                  </w:r>
                  <w:r w:rsidRPr="000B34D4">
                    <w:rPr>
                      <w:rFonts w:eastAsia="宋体" w:hint="eastAsia"/>
                      <w:color w:val="auto"/>
                      <w:sz w:val="18"/>
                      <w:szCs w:val="18"/>
                    </w:rPr>
                    <w:t>A</w:t>
                  </w:r>
                  <w:r w:rsidRPr="000B34D4">
                    <w:rPr>
                      <w:rFonts w:eastAsia="宋体"/>
                      <w:color w:val="auto"/>
                      <w:sz w:val="18"/>
                      <w:szCs w:val="18"/>
                    </w:rPr>
                    <w:t>F</w:t>
                  </w:r>
                  <w:r w:rsidRPr="000B34D4">
                    <w:rPr>
                      <w:rFonts w:eastAsia="宋体"/>
                      <w:color w:val="auto"/>
                      <w:sz w:val="18"/>
                      <w:szCs w:val="18"/>
                    </w:rPr>
                    <w:t>的相乘</w:t>
                  </w:r>
                </w:p>
              </w:tc>
              <w:tc>
                <w:tcPr>
                  <w:tcW w:w="2078" w:type="dxa"/>
                </w:tcPr>
                <w:p w14:paraId="28AF9751"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2</w:t>
                  </w:r>
                  <w:r w:rsidRPr="000B34D4">
                    <w:rPr>
                      <w:rFonts w:eastAsia="宋体"/>
                      <w:color w:val="auto"/>
                      <w:sz w:val="18"/>
                      <w:szCs w:val="18"/>
                    </w:rPr>
                    <w:t>0</w:t>
                  </w:r>
                </w:p>
              </w:tc>
              <w:tc>
                <w:tcPr>
                  <w:tcW w:w="2078" w:type="dxa"/>
                  <w:gridSpan w:val="2"/>
                </w:tcPr>
                <w:p w14:paraId="734CC621"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3</w:t>
                  </w:r>
                  <w:r w:rsidRPr="000B34D4">
                    <w:rPr>
                      <w:rFonts w:eastAsia="宋体"/>
                      <w:color w:val="auto"/>
                      <w:sz w:val="18"/>
                      <w:szCs w:val="18"/>
                    </w:rPr>
                    <w:t>0</w:t>
                  </w:r>
                </w:p>
              </w:tc>
              <w:tc>
                <w:tcPr>
                  <w:tcW w:w="2078" w:type="dxa"/>
                </w:tcPr>
                <w:p w14:paraId="6359D9AC"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1</w:t>
                  </w:r>
                  <w:r w:rsidRPr="000B34D4">
                    <w:rPr>
                      <w:rFonts w:eastAsia="宋体"/>
                      <w:color w:val="auto"/>
                      <w:sz w:val="18"/>
                      <w:szCs w:val="18"/>
                    </w:rPr>
                    <w:t>2</w:t>
                  </w:r>
                </w:p>
              </w:tc>
              <w:tc>
                <w:tcPr>
                  <w:tcW w:w="1480" w:type="dxa"/>
                </w:tcPr>
                <w:p w14:paraId="090074BA"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3</w:t>
                  </w:r>
                  <w:r w:rsidRPr="000B34D4">
                    <w:rPr>
                      <w:rFonts w:eastAsia="宋体"/>
                      <w:color w:val="auto"/>
                      <w:sz w:val="18"/>
                      <w:szCs w:val="18"/>
                    </w:rPr>
                    <w:t>0</w:t>
                  </w:r>
                </w:p>
              </w:tc>
            </w:tr>
            <w:tr w:rsidR="00EC1A52" w:rsidRPr="00EC1A52" w14:paraId="016E8577" w14:textId="77777777" w:rsidTr="00EC1A52">
              <w:tc>
                <w:tcPr>
                  <w:tcW w:w="316" w:type="dxa"/>
                  <w:shd w:val="clear" w:color="auto" w:fill="BDD6EE" w:themeFill="accent5" w:themeFillTint="66"/>
                </w:tcPr>
                <w:p w14:paraId="7388A2EA"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5</w:t>
                  </w:r>
                </w:p>
              </w:tc>
              <w:tc>
                <w:tcPr>
                  <w:tcW w:w="1840" w:type="dxa"/>
                  <w:gridSpan w:val="2"/>
                  <w:shd w:val="clear" w:color="auto" w:fill="BDD6EE" w:themeFill="accent5" w:themeFillTint="66"/>
                </w:tcPr>
                <w:p w14:paraId="5BDEDCAC"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P</w:t>
                  </w:r>
                  <w:r w:rsidRPr="000B34D4">
                    <w:rPr>
                      <w:rFonts w:eastAsia="宋体"/>
                      <w:color w:val="auto"/>
                      <w:sz w:val="18"/>
                      <w:szCs w:val="18"/>
                    </w:rPr>
                    <w:t>DE</w:t>
                  </w:r>
                  <w:r w:rsidRPr="000B34D4">
                    <w:rPr>
                      <w:rFonts w:eastAsia="宋体"/>
                      <w:color w:val="auto"/>
                      <w:sz w:val="18"/>
                      <w:szCs w:val="18"/>
                    </w:rPr>
                    <w:t>的计算</w:t>
                  </w:r>
                </w:p>
                <w:p w14:paraId="0FC4A175"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w:t>
                  </w:r>
                  <w:r w:rsidRPr="000B34D4">
                    <w:rPr>
                      <w:rFonts w:eastAsia="宋体" w:hint="eastAsia"/>
                      <w:color w:val="auto"/>
                      <w:sz w:val="18"/>
                      <w:szCs w:val="18"/>
                    </w:rPr>
                    <w:t>H</w:t>
                  </w:r>
                  <w:r w:rsidRPr="000B34D4">
                    <w:rPr>
                      <w:rFonts w:eastAsia="宋体"/>
                      <w:color w:val="auto"/>
                      <w:sz w:val="18"/>
                      <w:szCs w:val="18"/>
                    </w:rPr>
                    <w:t>BEL=pod</w:t>
                  </w:r>
                  <w:r w:rsidRPr="000B34D4">
                    <w:rPr>
                      <w:rFonts w:eastAsia="宋体" w:hint="eastAsia"/>
                      <w:color w:val="auto"/>
                      <w:sz w:val="18"/>
                      <w:szCs w:val="18"/>
                    </w:rPr>
                    <w:t>/</w:t>
                  </w:r>
                  <w:r w:rsidRPr="000B34D4">
                    <w:rPr>
                      <w:rFonts w:eastAsia="宋体"/>
                      <w:color w:val="auto"/>
                      <w:sz w:val="18"/>
                      <w:szCs w:val="18"/>
                    </w:rPr>
                    <w:t>FT</w:t>
                  </w:r>
                  <w:r w:rsidRPr="000B34D4">
                    <w:rPr>
                      <w:rFonts w:eastAsia="宋体"/>
                      <w:color w:val="auto"/>
                      <w:sz w:val="18"/>
                      <w:szCs w:val="18"/>
                    </w:rPr>
                    <w:t>）</w:t>
                  </w:r>
                </w:p>
              </w:tc>
              <w:tc>
                <w:tcPr>
                  <w:tcW w:w="2078" w:type="dxa"/>
                </w:tcPr>
                <w:p w14:paraId="0572B95C"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5</w:t>
                  </w:r>
                  <w:r w:rsidRPr="000B34D4">
                    <w:rPr>
                      <w:rFonts w:eastAsia="宋体"/>
                      <w:color w:val="auto"/>
                      <w:sz w:val="18"/>
                      <w:szCs w:val="18"/>
                    </w:rPr>
                    <w:t>00ug/</w:t>
                  </w:r>
                  <w:r w:rsidRPr="000B34D4">
                    <w:rPr>
                      <w:rFonts w:eastAsia="宋体"/>
                      <w:color w:val="auto"/>
                      <w:sz w:val="18"/>
                      <w:szCs w:val="18"/>
                    </w:rPr>
                    <w:t>天</w:t>
                  </w:r>
                </w:p>
              </w:tc>
              <w:tc>
                <w:tcPr>
                  <w:tcW w:w="2078" w:type="dxa"/>
                  <w:gridSpan w:val="2"/>
                </w:tcPr>
                <w:p w14:paraId="1D3DA636"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hint="eastAsia"/>
                      <w:color w:val="auto"/>
                      <w:sz w:val="18"/>
                      <w:szCs w:val="18"/>
                    </w:rPr>
                    <w:t>4</w:t>
                  </w:r>
                  <w:r w:rsidRPr="000B34D4">
                    <w:rPr>
                      <w:rFonts w:eastAsia="宋体"/>
                      <w:color w:val="auto"/>
                      <w:sz w:val="18"/>
                      <w:szCs w:val="18"/>
                    </w:rPr>
                    <w:t>.2ug</w:t>
                  </w:r>
                  <w:r w:rsidRPr="000B34D4">
                    <w:rPr>
                      <w:rFonts w:eastAsia="宋体" w:hint="eastAsia"/>
                      <w:color w:val="auto"/>
                      <w:sz w:val="18"/>
                      <w:szCs w:val="18"/>
                    </w:rPr>
                    <w:t>/</w:t>
                  </w:r>
                  <w:r w:rsidRPr="000B34D4">
                    <w:rPr>
                      <w:rFonts w:eastAsia="宋体"/>
                      <w:color w:val="auto"/>
                      <w:sz w:val="18"/>
                      <w:szCs w:val="18"/>
                    </w:rPr>
                    <w:t>天</w:t>
                  </w:r>
                  <w:r w:rsidRPr="000B34D4">
                    <w:rPr>
                      <w:rFonts w:eastAsia="宋体" w:hint="eastAsia"/>
                      <w:color w:val="auto"/>
                      <w:sz w:val="18"/>
                      <w:szCs w:val="18"/>
                    </w:rPr>
                    <w:t>/</w:t>
                  </w:r>
                  <w:r w:rsidRPr="000B34D4">
                    <w:rPr>
                      <w:rFonts w:eastAsia="宋体" w:hint="eastAsia"/>
                      <w:color w:val="auto"/>
                      <w:sz w:val="18"/>
                      <w:szCs w:val="18"/>
                    </w:rPr>
                    <w:t>眼</w:t>
                  </w:r>
                </w:p>
              </w:tc>
              <w:tc>
                <w:tcPr>
                  <w:tcW w:w="2078" w:type="dxa"/>
                </w:tcPr>
                <w:p w14:paraId="611E2A66"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85ug/</w:t>
                  </w:r>
                  <w:r w:rsidRPr="000B34D4">
                    <w:rPr>
                      <w:rFonts w:eastAsia="宋体"/>
                      <w:color w:val="auto"/>
                      <w:sz w:val="18"/>
                      <w:szCs w:val="18"/>
                    </w:rPr>
                    <w:t>天</w:t>
                  </w:r>
                </w:p>
              </w:tc>
              <w:tc>
                <w:tcPr>
                  <w:tcW w:w="1480" w:type="dxa"/>
                </w:tcPr>
                <w:p w14:paraId="5D4D8184" w14:textId="77777777" w:rsidR="000B34D4" w:rsidRPr="000B34D4" w:rsidRDefault="000B34D4" w:rsidP="000B34D4">
                  <w:pPr>
                    <w:framePr w:wrap="around" w:vAnchor="text" w:hAnchor="margin" w:y="1350"/>
                    <w:widowControl w:val="0"/>
                    <w:spacing w:after="0" w:line="240" w:lineRule="auto"/>
                    <w:ind w:firstLine="0"/>
                    <w:suppressOverlap/>
                    <w:rPr>
                      <w:rFonts w:eastAsia="宋体"/>
                      <w:color w:val="auto"/>
                      <w:sz w:val="18"/>
                      <w:szCs w:val="18"/>
                    </w:rPr>
                  </w:pPr>
                  <w:r w:rsidRPr="000B34D4">
                    <w:rPr>
                      <w:rFonts w:eastAsia="宋体"/>
                      <w:color w:val="auto"/>
                      <w:sz w:val="18"/>
                      <w:szCs w:val="18"/>
                    </w:rPr>
                    <w:t>1ug</w:t>
                  </w:r>
                  <w:r w:rsidRPr="000B34D4">
                    <w:rPr>
                      <w:rFonts w:eastAsia="宋体" w:hint="eastAsia"/>
                      <w:color w:val="auto"/>
                      <w:sz w:val="18"/>
                      <w:szCs w:val="18"/>
                    </w:rPr>
                    <w:t>/</w:t>
                  </w:r>
                  <w:r w:rsidRPr="000B34D4">
                    <w:rPr>
                      <w:rFonts w:eastAsia="宋体"/>
                      <w:color w:val="auto"/>
                      <w:sz w:val="18"/>
                      <w:szCs w:val="18"/>
                    </w:rPr>
                    <w:t>天</w:t>
                  </w:r>
                  <w:r w:rsidRPr="000B34D4">
                    <w:rPr>
                      <w:rFonts w:eastAsia="宋体" w:hint="eastAsia"/>
                      <w:color w:val="auto"/>
                      <w:sz w:val="18"/>
                      <w:szCs w:val="18"/>
                    </w:rPr>
                    <w:t>/</w:t>
                  </w:r>
                  <w:r w:rsidRPr="000B34D4">
                    <w:rPr>
                      <w:rFonts w:eastAsia="宋体" w:hint="eastAsia"/>
                      <w:color w:val="auto"/>
                      <w:sz w:val="18"/>
                      <w:szCs w:val="18"/>
                    </w:rPr>
                    <w:t>眼</w:t>
                  </w:r>
                </w:p>
              </w:tc>
            </w:tr>
          </w:tbl>
          <w:p w14:paraId="1F5B698F" w14:textId="6D587AF2" w:rsidR="0026097E" w:rsidRPr="000B34D4" w:rsidRDefault="0026097E">
            <w:pPr>
              <w:spacing w:after="90" w:line="259" w:lineRule="auto"/>
              <w:ind w:firstLine="0"/>
              <w:jc w:val="left"/>
            </w:pPr>
          </w:p>
          <w:p w14:paraId="10ED521E" w14:textId="369D941C" w:rsidR="0026097E" w:rsidRPr="00EC1A52" w:rsidRDefault="000B34D4">
            <w:pPr>
              <w:spacing w:after="0" w:line="259" w:lineRule="auto"/>
              <w:ind w:left="2430" w:firstLine="0"/>
            </w:pPr>
            <w:r>
              <w:rPr>
                <w:rFonts w:ascii="宋体" w:eastAsia="宋体" w:hAnsi="宋体" w:cs="宋体" w:hint="eastAsia"/>
                <w:b/>
                <w:sz w:val="16"/>
              </w:rPr>
              <w:t>图4</w:t>
            </w:r>
            <w:r w:rsidR="00284695">
              <w:rPr>
                <w:rFonts w:ascii="Arial" w:eastAsia="Arial" w:hAnsi="Arial" w:cs="Arial"/>
                <w:b/>
                <w:sz w:val="16"/>
              </w:rPr>
              <w:t xml:space="preserve"> </w:t>
            </w:r>
            <w:r w:rsidR="00EC1A52">
              <w:rPr>
                <w:rFonts w:ascii="Arial" w:eastAsia="Arial" w:hAnsi="Arial" w:cs="Arial"/>
                <w:b/>
                <w:sz w:val="16"/>
              </w:rPr>
              <w:t xml:space="preserve">     </w:t>
            </w:r>
            <w:r w:rsidR="00EC1A52" w:rsidRPr="00EC1A52">
              <w:rPr>
                <w:rFonts w:ascii="宋体" w:eastAsia="宋体" w:hAnsi="宋体" w:cs="宋体" w:hint="eastAsia"/>
                <w:b/>
                <w:sz w:val="16"/>
              </w:rPr>
              <w:t>眼部指示的示例</w:t>
            </w:r>
            <w:r w:rsidR="00EC1A52" w:rsidRPr="00EC1A52">
              <w:rPr>
                <w:rFonts w:ascii="Arial" w:eastAsia="Arial" w:hAnsi="Arial" w:cs="Arial"/>
                <w:b/>
                <w:sz w:val="16"/>
              </w:rPr>
              <w:t>HBEL</w:t>
            </w:r>
            <w:r w:rsidR="00EC1A52" w:rsidRPr="00EC1A52">
              <w:rPr>
                <w:rFonts w:ascii="宋体" w:eastAsia="宋体" w:hAnsi="宋体" w:cs="宋体" w:hint="eastAsia"/>
                <w:b/>
                <w:sz w:val="16"/>
              </w:rPr>
              <w:t>推导</w:t>
            </w:r>
          </w:p>
        </w:tc>
      </w:tr>
    </w:tbl>
    <w:p w14:paraId="46964410" w14:textId="77777777" w:rsidR="00BF0BE8" w:rsidRDefault="00284695" w:rsidP="00BF0BE8">
      <w:pPr>
        <w:ind w:left="-15"/>
      </w:pPr>
      <w:r>
        <w:t xml:space="preserve">10.1.1 </w:t>
      </w:r>
      <w:r w:rsidR="00BF0BE8">
        <w:rPr>
          <w:rFonts w:ascii="宋体" w:eastAsia="宋体" w:hAnsi="宋体" w:cs="宋体" w:hint="eastAsia"/>
        </w:rPr>
        <w:t>根据</w:t>
      </w:r>
      <w:r w:rsidR="00BF0BE8">
        <w:t>GMP</w:t>
      </w:r>
      <w:r w:rsidR="00BF0BE8">
        <w:rPr>
          <w:rFonts w:ascii="宋体" w:eastAsia="宋体" w:hAnsi="宋体" w:cs="宋体" w:hint="eastAsia"/>
        </w:rPr>
        <w:t>指南，</w:t>
      </w:r>
      <w:r w:rsidR="00BF0BE8">
        <w:t>“</w:t>
      </w:r>
      <w:r w:rsidR="00BF0BE8">
        <w:rPr>
          <w:rFonts w:ascii="宋体" w:eastAsia="宋体" w:hAnsi="宋体" w:cs="宋体" w:hint="eastAsia"/>
        </w:rPr>
        <w:t>高敏材料</w:t>
      </w:r>
      <w:r w:rsidR="00BF0BE8">
        <w:t>”</w:t>
      </w:r>
      <w:r w:rsidR="00BF0BE8">
        <w:rPr>
          <w:rFonts w:ascii="宋体" w:eastAsia="宋体" w:hAnsi="宋体" w:cs="宋体" w:hint="eastAsia"/>
        </w:rPr>
        <w:t>（</w:t>
      </w:r>
      <w:r w:rsidR="00BF0BE8">
        <w:t>21 CFR 211.42</w:t>
      </w:r>
      <w:r w:rsidR="00BF0BE8">
        <w:rPr>
          <w:rFonts w:ascii="宋体" w:eastAsia="宋体" w:hAnsi="宋体" w:cs="宋体" w:hint="eastAsia"/>
        </w:rPr>
        <w:t>（</w:t>
      </w:r>
      <w:r w:rsidR="00BF0BE8">
        <w:t>d</w:t>
      </w:r>
      <w:r w:rsidR="00BF0BE8">
        <w:rPr>
          <w:rFonts w:ascii="宋体" w:eastAsia="宋体" w:hAnsi="宋体" w:cs="宋体" w:hint="eastAsia"/>
        </w:rPr>
        <w:t>），</w:t>
      </w:r>
      <w:r w:rsidR="00BF0BE8">
        <w:t>211.46</w:t>
      </w:r>
      <w:r w:rsidR="00BF0BE8">
        <w:rPr>
          <w:rFonts w:ascii="宋体" w:eastAsia="宋体" w:hAnsi="宋体" w:cs="宋体" w:hint="eastAsia"/>
        </w:rPr>
        <w:t>（</w:t>
      </w:r>
      <w:r w:rsidR="00BF0BE8">
        <w:t>d</w:t>
      </w:r>
      <w:r w:rsidR="00BF0BE8">
        <w:rPr>
          <w:rFonts w:ascii="宋体" w:eastAsia="宋体" w:hAnsi="宋体" w:cs="宋体" w:hint="eastAsia"/>
        </w:rPr>
        <w:t>）和</w:t>
      </w:r>
      <w:r w:rsidR="00BF0BE8">
        <w:t>211.176</w:t>
      </w:r>
      <w:r w:rsidR="00BF0BE8">
        <w:rPr>
          <w:rFonts w:ascii="宋体" w:eastAsia="宋体" w:hAnsi="宋体" w:cs="宋体" w:hint="eastAsia"/>
        </w:rPr>
        <w:t>）（</w:t>
      </w:r>
      <w:r w:rsidR="00BF0BE8">
        <w:t>28</w:t>
      </w:r>
      <w:r w:rsidR="00BF0BE8">
        <w:rPr>
          <w:rFonts w:ascii="宋体" w:eastAsia="宋体" w:hAnsi="宋体" w:cs="宋体" w:hint="eastAsia"/>
        </w:rPr>
        <w:t>、</w:t>
      </w:r>
      <w:r w:rsidR="00BF0BE8">
        <w:t>121</w:t>
      </w:r>
      <w:r w:rsidR="00BF0BE8">
        <w:rPr>
          <w:rFonts w:ascii="宋体" w:eastAsia="宋体" w:hAnsi="宋体" w:cs="宋体" w:hint="eastAsia"/>
        </w:rPr>
        <w:t>、</w:t>
      </w:r>
      <w:r w:rsidR="00BF0BE8">
        <w:t>122</w:t>
      </w:r>
      <w:r w:rsidR="00BF0BE8">
        <w:rPr>
          <w:rFonts w:ascii="宋体" w:eastAsia="宋体" w:hAnsi="宋体" w:cs="宋体" w:hint="eastAsia"/>
        </w:rPr>
        <w:t>）需要专用的设备。</w:t>
      </w:r>
      <w:r w:rsidR="00BF0BE8">
        <w:t xml:space="preserve"> </w:t>
      </w:r>
      <w:r w:rsidR="00BF0BE8">
        <w:rPr>
          <w:rFonts w:ascii="宋体" w:eastAsia="宋体" w:hAnsi="宋体" w:cs="宋体" w:hint="eastAsia"/>
        </w:rPr>
        <w:t>青霉素和其他</w:t>
      </w:r>
      <w:r w:rsidR="00BF0BE8">
        <w:t>β-</w:t>
      </w:r>
      <w:r w:rsidR="00BF0BE8">
        <w:rPr>
          <w:rFonts w:ascii="宋体" w:eastAsia="宋体" w:hAnsi="宋体" w:cs="宋体" w:hint="eastAsia"/>
        </w:rPr>
        <w:t>内酰胺类药物是迄今为止唯一需要这种设施投入的药物。</w:t>
      </w:r>
      <w:r w:rsidR="00BF0BE8">
        <w:t xml:space="preserve"> </w:t>
      </w:r>
      <w:r w:rsidR="00BF0BE8">
        <w:rPr>
          <w:rFonts w:ascii="宋体" w:eastAsia="宋体" w:hAnsi="宋体" w:cs="宋体" w:hint="eastAsia"/>
        </w:rPr>
        <w:t>在</w:t>
      </w:r>
      <w:r w:rsidR="00BF0BE8">
        <w:t>GMP</w:t>
      </w:r>
      <w:r w:rsidR="00BF0BE8">
        <w:rPr>
          <w:rFonts w:ascii="宋体" w:eastAsia="宋体" w:hAnsi="宋体" w:cs="宋体" w:hint="eastAsia"/>
        </w:rPr>
        <w:t>环境中，如果有确凿的证据表明其增效能力（频率和严重程度）与</w:t>
      </w:r>
      <w:r w:rsidR="00BF0BE8">
        <w:t>β-</w:t>
      </w:r>
      <w:r w:rsidR="00BF0BE8">
        <w:rPr>
          <w:rFonts w:ascii="宋体" w:eastAsia="宋体" w:hAnsi="宋体" w:cs="宋体" w:hint="eastAsia"/>
        </w:rPr>
        <w:t>内酰胺（如青霉素）相当或较之差，则应将其视为强效增敏剂。</w:t>
      </w:r>
    </w:p>
    <w:p w14:paraId="342CA370" w14:textId="0DBDFBE6" w:rsidR="0026097E" w:rsidRDefault="00BF0BE8" w:rsidP="00BF0BE8">
      <w:pPr>
        <w:ind w:left="-15"/>
      </w:pPr>
      <w:r>
        <w:t>10.1.2</w:t>
      </w:r>
      <w:r>
        <w:rPr>
          <w:rFonts w:ascii="宋体" w:eastAsia="宋体" w:hAnsi="宋体" w:cs="宋体" w:hint="eastAsia"/>
        </w:rPr>
        <w:t>世界过敏组织将</w:t>
      </w:r>
      <w:r>
        <w:t>“</w:t>
      </w:r>
      <w:r>
        <w:rPr>
          <w:rFonts w:ascii="宋体" w:eastAsia="宋体" w:hAnsi="宋体" w:cs="宋体" w:hint="eastAsia"/>
        </w:rPr>
        <w:t>药物过敏</w:t>
      </w:r>
      <w:r>
        <w:t>”</w:t>
      </w:r>
      <w:r>
        <w:rPr>
          <w:rFonts w:ascii="宋体" w:eastAsia="宋体" w:hAnsi="宋体" w:cs="宋体" w:hint="eastAsia"/>
        </w:rPr>
        <w:t>定义为一种免疫</w:t>
      </w:r>
      <w:proofErr w:type="gramStart"/>
      <w:r>
        <w:rPr>
          <w:rFonts w:ascii="宋体" w:eastAsia="宋体" w:hAnsi="宋体" w:cs="宋体" w:hint="eastAsia"/>
        </w:rPr>
        <w:t>介</w:t>
      </w:r>
      <w:proofErr w:type="gramEnd"/>
      <w:r>
        <w:rPr>
          <w:rFonts w:ascii="宋体" w:eastAsia="宋体" w:hAnsi="宋体" w:cs="宋体" w:hint="eastAsia"/>
        </w:rPr>
        <w:t>导的</w:t>
      </w:r>
      <w:proofErr w:type="gramStart"/>
      <w:r>
        <w:rPr>
          <w:rFonts w:ascii="宋体" w:eastAsia="宋体" w:hAnsi="宋体" w:cs="宋体" w:hint="eastAsia"/>
        </w:rPr>
        <w:t>药物超</w:t>
      </w:r>
      <w:proofErr w:type="gramEnd"/>
      <w:r>
        <w:rPr>
          <w:rFonts w:ascii="宋体" w:eastAsia="宋体" w:hAnsi="宋体" w:cs="宋体" w:hint="eastAsia"/>
        </w:rPr>
        <w:t>敏反应。</w:t>
      </w:r>
      <w:r>
        <w:t xml:space="preserve"> </w:t>
      </w:r>
      <w:r>
        <w:rPr>
          <w:rFonts w:ascii="宋体" w:eastAsia="宋体" w:hAnsi="宋体" w:cs="宋体" w:hint="eastAsia"/>
        </w:rPr>
        <w:t>该反应可以用或不用</w:t>
      </w:r>
      <w:proofErr w:type="spellStart"/>
      <w:r>
        <w:t>IgE</w:t>
      </w:r>
      <w:proofErr w:type="spellEnd"/>
      <w:r>
        <w:rPr>
          <w:rFonts w:ascii="宋体" w:eastAsia="宋体" w:hAnsi="宋体" w:cs="宋体" w:hint="eastAsia"/>
        </w:rPr>
        <w:t>治疗。</w:t>
      </w:r>
      <w:r>
        <w:t xml:space="preserve"> </w:t>
      </w:r>
      <w:r>
        <w:rPr>
          <w:rFonts w:ascii="宋体" w:eastAsia="宋体" w:hAnsi="宋体" w:cs="宋体" w:hint="eastAsia"/>
        </w:rPr>
        <w:t>在后一种情况下，</w:t>
      </w:r>
      <w:r>
        <w:t>T</w:t>
      </w:r>
      <w:r>
        <w:rPr>
          <w:rFonts w:ascii="宋体" w:eastAsia="宋体" w:hAnsi="宋体" w:cs="宋体" w:hint="eastAsia"/>
        </w:rPr>
        <w:t>细胞</w:t>
      </w:r>
      <w:proofErr w:type="gramStart"/>
      <w:r>
        <w:rPr>
          <w:rFonts w:ascii="宋体" w:eastAsia="宋体" w:hAnsi="宋体" w:cs="宋体" w:hint="eastAsia"/>
        </w:rPr>
        <w:t>介</w:t>
      </w:r>
      <w:proofErr w:type="gramEnd"/>
      <w:r>
        <w:rPr>
          <w:rFonts w:ascii="宋体" w:eastAsia="宋体" w:hAnsi="宋体" w:cs="宋体" w:hint="eastAsia"/>
        </w:rPr>
        <w:t>导的反应占主导。</w:t>
      </w:r>
      <w:r>
        <w:t xml:space="preserve"> </w:t>
      </w:r>
      <w:r>
        <w:rPr>
          <w:rFonts w:ascii="宋体" w:eastAsia="宋体" w:hAnsi="宋体" w:cs="宋体" w:hint="eastAsia"/>
        </w:rPr>
        <w:t>过敏反应或</w:t>
      </w:r>
      <w:r>
        <w:t>SCAR</w:t>
      </w:r>
      <w:r>
        <w:rPr>
          <w:rFonts w:ascii="宋体" w:eastAsia="宋体" w:hAnsi="宋体" w:cs="宋体" w:hint="eastAsia"/>
        </w:rPr>
        <w:t>，例如史蒂文</w:t>
      </w:r>
      <w:r>
        <w:t>·</w:t>
      </w:r>
      <w:r>
        <w:rPr>
          <w:rFonts w:ascii="宋体" w:eastAsia="宋体" w:hAnsi="宋体" w:cs="宋体" w:hint="eastAsia"/>
        </w:rPr>
        <w:t>约翰逊综合征</w:t>
      </w:r>
      <w:r>
        <w:t>/</w:t>
      </w:r>
      <w:r>
        <w:rPr>
          <w:rFonts w:ascii="宋体" w:eastAsia="宋体" w:hAnsi="宋体" w:cs="宋体" w:hint="eastAsia"/>
        </w:rPr>
        <w:t>中毒性表皮坏死溶解（</w:t>
      </w:r>
      <w:r>
        <w:t>SJS / TEN</w:t>
      </w:r>
      <w:r>
        <w:rPr>
          <w:rFonts w:ascii="宋体" w:eastAsia="宋体" w:hAnsi="宋体" w:cs="宋体" w:hint="eastAsia"/>
        </w:rPr>
        <w:t>），都是如此严重的全身性过敏反应（</w:t>
      </w:r>
      <w:r>
        <w:t>9</w:t>
      </w:r>
      <w:r>
        <w:rPr>
          <w:rFonts w:ascii="宋体" w:eastAsia="宋体" w:hAnsi="宋体" w:cs="宋体" w:hint="eastAsia"/>
        </w:rPr>
        <w:t>）</w:t>
      </w:r>
      <w:r w:rsidR="00284695">
        <w:t>.</w:t>
      </w:r>
    </w:p>
    <w:p w14:paraId="1B1D8D2C" w14:textId="77777777" w:rsidR="00BF0BE8" w:rsidRDefault="00284695" w:rsidP="00BF0BE8">
      <w:pPr>
        <w:ind w:left="-15"/>
      </w:pPr>
      <w:r>
        <w:t xml:space="preserve">10.1.3 </w:t>
      </w:r>
      <w:r w:rsidR="00BF0BE8">
        <w:rPr>
          <w:rFonts w:ascii="宋体" w:eastAsia="宋体" w:hAnsi="宋体" w:cs="宋体" w:hint="eastAsia"/>
        </w:rPr>
        <w:t>在评估药物是否高度致敏时，需要考虑频率和严重性。严重的全身性过敏（</w:t>
      </w:r>
      <w:r w:rsidR="00BF0BE8">
        <w:t>I</w:t>
      </w:r>
      <w:r w:rsidR="00BF0BE8">
        <w:rPr>
          <w:rFonts w:ascii="宋体" w:eastAsia="宋体" w:hAnsi="宋体" w:cs="宋体" w:hint="eastAsia"/>
        </w:rPr>
        <w:t>型过敏），如过敏反应或哮喘以及其他与全身组胺释放有关的过敏性疾病，是主要的关注焦点。尽管对</w:t>
      </w:r>
      <w:r w:rsidR="00BF0BE8">
        <w:t>IV</w:t>
      </w:r>
      <w:r w:rsidR="00BF0BE8">
        <w:rPr>
          <w:rFonts w:ascii="宋体" w:eastAsia="宋体" w:hAnsi="宋体" w:cs="宋体" w:hint="eastAsia"/>
        </w:rPr>
        <w:t>型过敏（湿疹类型反应）具有预测价值的非临床测试，但尚无此类测试（体内，体外或计算机模拟）可以评估在以下情况下可能引起关注的全身性过敏原（</w:t>
      </w:r>
      <w:r w:rsidR="00BF0BE8">
        <w:t>I</w:t>
      </w:r>
      <w:r w:rsidR="00BF0BE8">
        <w:rPr>
          <w:rFonts w:ascii="宋体" w:eastAsia="宋体" w:hAnsi="宋体" w:cs="宋体" w:hint="eastAsia"/>
        </w:rPr>
        <w:t>型过敏）由于交叉污染而产生的不利影响。因此，除非它们的分子结构包含引起严重过敏的臭名昭著的部分（例如</w:t>
      </w:r>
      <w:r w:rsidR="00BF0BE8">
        <w:t>β-</w:t>
      </w:r>
      <w:r w:rsidR="00BF0BE8">
        <w:rPr>
          <w:rFonts w:ascii="宋体" w:eastAsia="宋体" w:hAnsi="宋体" w:cs="宋体" w:hint="eastAsia"/>
        </w:rPr>
        <w:t>内酰胺环），否则原则上来说，研究用药物（</w:t>
      </w:r>
      <w:r w:rsidR="00BF0BE8">
        <w:t>IMPs</w:t>
      </w:r>
      <w:r w:rsidR="00BF0BE8">
        <w:rPr>
          <w:rFonts w:ascii="宋体" w:eastAsia="宋体" w:hAnsi="宋体" w:cs="宋体" w:hint="eastAsia"/>
        </w:rPr>
        <w:t>）通常不符合高度致敏的标准。迄今为止，临床流行病学是人类通过呼吸道发生全身过敏风险的唯一科学可靠的预测指标（</w:t>
      </w:r>
      <w:r w:rsidR="00BF0BE8">
        <w:t>123</w:t>
      </w:r>
      <w:r w:rsidR="00BF0BE8">
        <w:rPr>
          <w:rFonts w:ascii="宋体" w:eastAsia="宋体" w:hAnsi="宋体" w:cs="宋体" w:hint="eastAsia"/>
        </w:rPr>
        <w:t>）。</w:t>
      </w:r>
    </w:p>
    <w:p w14:paraId="606B6335" w14:textId="57BD7EC4" w:rsidR="0026097E" w:rsidRDefault="00BF0BE8" w:rsidP="00BF0BE8">
      <w:pPr>
        <w:ind w:left="-15"/>
      </w:pPr>
      <w:r>
        <w:lastRenderedPageBreak/>
        <w:t>10.1.4</w:t>
      </w:r>
      <w:r>
        <w:rPr>
          <w:rFonts w:ascii="宋体" w:eastAsia="宋体" w:hAnsi="宋体" w:cs="宋体" w:hint="eastAsia"/>
        </w:rPr>
        <w:t>偶尔有关于</w:t>
      </w:r>
      <w:r>
        <w:t>IV</w:t>
      </w:r>
      <w:r>
        <w:rPr>
          <w:rFonts w:ascii="宋体" w:eastAsia="宋体" w:hAnsi="宋体" w:cs="宋体" w:hint="eastAsia"/>
        </w:rPr>
        <w:t>型过敏反应的报告，例如皮疹和临床使用某种药物引起的类似的相对轻度的过敏反应，不能预示该药物作为另一种药物中的微量污染物可能引起的严重和全身性过敏。</w:t>
      </w:r>
      <w:r>
        <w:t xml:space="preserve"> IV</w:t>
      </w:r>
      <w:r>
        <w:rPr>
          <w:rFonts w:ascii="宋体" w:eastAsia="宋体" w:hAnsi="宋体" w:cs="宋体" w:hint="eastAsia"/>
        </w:rPr>
        <w:t>型过敏（如皮肤湿疹型过敏，如鼠局部淋巴结试验所预测的过敏）不能预测相同药物引起全身性过敏的可能性，而且，单独使用，不能表示必须在专用设施中进行强制性生产</w:t>
      </w:r>
      <w:r w:rsidR="00284695">
        <w:t>.</w:t>
      </w:r>
    </w:p>
    <w:p w14:paraId="1C1A8234" w14:textId="77777777" w:rsidR="00BF0BE8" w:rsidRPr="0074743A" w:rsidRDefault="00284695" w:rsidP="00EC1A52">
      <w:pPr>
        <w:spacing w:after="48" w:line="248" w:lineRule="auto"/>
        <w:ind w:firstLine="0"/>
      </w:pPr>
      <w:r w:rsidRPr="0074743A">
        <w:t xml:space="preserve">10.2 </w:t>
      </w:r>
      <w:r w:rsidR="00BF0BE8" w:rsidRPr="0074743A">
        <w:rPr>
          <w:rFonts w:ascii="宋体" w:eastAsia="宋体" w:hAnsi="宋体" w:cs="宋体" w:hint="eastAsia"/>
        </w:rPr>
        <w:t>遗传毒性（致突变性）：</w:t>
      </w:r>
    </w:p>
    <w:p w14:paraId="65D0CEB8" w14:textId="4001B778" w:rsidR="0026097E" w:rsidRPr="0074743A" w:rsidRDefault="00BF0BE8" w:rsidP="00EC1A52">
      <w:pPr>
        <w:spacing w:after="48" w:line="248" w:lineRule="auto"/>
        <w:ind w:firstLine="0"/>
      </w:pPr>
      <w:r w:rsidRPr="0074743A">
        <w:t>10.2.1</w:t>
      </w:r>
      <w:r w:rsidRPr="0074743A">
        <w:rPr>
          <w:rFonts w:ascii="宋体" w:eastAsia="宋体" w:hAnsi="宋体" w:cs="宋体" w:hint="eastAsia"/>
        </w:rPr>
        <w:t>遗传毒性是与遗传相关的不良反应，其影响的子类包括诱变性，</w:t>
      </w:r>
      <w:proofErr w:type="gramStart"/>
      <w:r w:rsidRPr="0074743A">
        <w:rPr>
          <w:rFonts w:ascii="宋体" w:eastAsia="宋体" w:hAnsi="宋体" w:cs="宋体" w:hint="eastAsia"/>
        </w:rPr>
        <w:t>致裂性和</w:t>
      </w:r>
      <w:proofErr w:type="gramEnd"/>
      <w:r w:rsidRPr="0074743A">
        <w:rPr>
          <w:rFonts w:ascii="宋体" w:eastAsia="宋体" w:hAnsi="宋体" w:cs="宋体" w:hint="eastAsia"/>
        </w:rPr>
        <w:t>无气性（</w:t>
      </w:r>
      <w:r w:rsidRPr="0074743A">
        <w:t>9</w:t>
      </w:r>
      <w:r w:rsidRPr="0074743A">
        <w:rPr>
          <w:rFonts w:ascii="宋体" w:eastAsia="宋体" w:hAnsi="宋体" w:cs="宋体" w:hint="eastAsia"/>
        </w:rPr>
        <w:t>，</w:t>
      </w:r>
      <w:r w:rsidRPr="0074743A">
        <w:t>18</w:t>
      </w:r>
      <w:r w:rsidRPr="0074743A">
        <w:rPr>
          <w:rFonts w:ascii="宋体" w:eastAsia="宋体" w:hAnsi="宋体" w:cs="宋体" w:hint="eastAsia"/>
        </w:rPr>
        <w:t>，</w:t>
      </w:r>
      <w:r w:rsidRPr="0074743A">
        <w:t>108</w:t>
      </w:r>
      <w:r w:rsidRPr="0074743A">
        <w:rPr>
          <w:rFonts w:ascii="宋体" w:eastAsia="宋体" w:hAnsi="宋体" w:cs="宋体" w:hint="eastAsia"/>
        </w:rPr>
        <w:t>，</w:t>
      </w:r>
      <w:r w:rsidRPr="0074743A">
        <w:t>111</w:t>
      </w:r>
      <w:r w:rsidRPr="0074743A">
        <w:rPr>
          <w:rFonts w:ascii="宋体" w:eastAsia="宋体" w:hAnsi="宋体" w:cs="宋体" w:hint="eastAsia"/>
        </w:rPr>
        <w:t>）。关于遗传毒性化合物的主要问题是其导致致癌性的能力，但发育毒性是另一潜在的不良后果。除非在体内另外显示具有剂量反应作用，否则认为致突变化合物不具有毒性阈值。缺乏毒性阈值意味着该化合物可以在任何剂量下引起不良反应。在可以证明具有致突变性或遗传毒性的化合物以及毒性阈值的情况下，可以使用前面提到的标准方程式，将这些效应用于产生</w:t>
      </w:r>
      <w:r w:rsidRPr="0074743A">
        <w:t>HBEL</w:t>
      </w:r>
      <w:r w:rsidRPr="0074743A">
        <w:rPr>
          <w:rFonts w:ascii="宋体" w:eastAsia="宋体" w:hAnsi="宋体" w:cs="宋体" w:hint="eastAsia"/>
        </w:rPr>
        <w:t>。但是，对于无法证明阈值的诱变化合物，则应将可接受的癌症终生过量风险（即</w:t>
      </w:r>
      <w:proofErr w:type="gramStart"/>
      <w:r w:rsidRPr="0074743A">
        <w:t>10</w:t>
      </w:r>
      <w:proofErr w:type="gramEnd"/>
      <w:r w:rsidRPr="0074743A">
        <w:rPr>
          <w:rFonts w:ascii="宋体" w:eastAsia="宋体" w:hAnsi="宋体" w:cs="宋体" w:hint="eastAsia"/>
        </w:rPr>
        <w:t>万分之一）计算为</w:t>
      </w:r>
      <w:r w:rsidRPr="0074743A">
        <w:t>HBEL</w:t>
      </w:r>
      <w:r w:rsidRPr="0074743A">
        <w:rPr>
          <w:rFonts w:ascii="宋体" w:eastAsia="宋体" w:hAnsi="宋体" w:cs="宋体" w:hint="eastAsia"/>
        </w:rPr>
        <w:t>。来自</w:t>
      </w:r>
      <w:r w:rsidRPr="0074743A">
        <w:t>ICH M7</w:t>
      </w:r>
      <w:r w:rsidRPr="0074743A">
        <w:rPr>
          <w:rFonts w:ascii="宋体" w:eastAsia="宋体" w:hAnsi="宋体" w:cs="宋体" w:hint="eastAsia"/>
        </w:rPr>
        <w:t>（</w:t>
      </w:r>
      <w:r w:rsidRPr="0074743A">
        <w:t>R1</w:t>
      </w:r>
      <w:r w:rsidRPr="0074743A">
        <w:rPr>
          <w:rFonts w:ascii="宋体" w:eastAsia="宋体" w:hAnsi="宋体" w:cs="宋体" w:hint="eastAsia"/>
        </w:rPr>
        <w:t>）的一个用于根据动物的癌症效力数据计算</w:t>
      </w:r>
      <w:r w:rsidRPr="0074743A">
        <w:t>HBEL</w:t>
      </w:r>
      <w:r w:rsidRPr="0074743A">
        <w:rPr>
          <w:rFonts w:ascii="宋体" w:eastAsia="宋体" w:hAnsi="宋体" w:cs="宋体" w:hint="eastAsia"/>
        </w:rPr>
        <w:t>的示例是</w:t>
      </w:r>
      <w:r w:rsidR="00284695" w:rsidRPr="0074743A">
        <w:t>:</w:t>
      </w:r>
    </w:p>
    <w:p w14:paraId="16975258" w14:textId="790241F7" w:rsidR="0026097E" w:rsidRPr="0074743A" w:rsidRDefault="00284695">
      <w:pPr>
        <w:tabs>
          <w:tab w:val="center" w:pos="2609"/>
          <w:tab w:val="right" w:pos="5030"/>
        </w:tabs>
        <w:spacing w:after="3" w:line="259" w:lineRule="auto"/>
        <w:ind w:right="-1" w:firstLine="0"/>
        <w:jc w:val="left"/>
      </w:pPr>
      <w:r w:rsidRPr="0074743A">
        <w:rPr>
          <w:rFonts w:ascii="Calibri" w:eastAsia="Calibri" w:hAnsi="Calibri" w:cs="Calibri"/>
          <w:color w:val="000000"/>
          <w:sz w:val="22"/>
        </w:rPr>
        <w:tab/>
      </w:r>
      <w:r w:rsidRPr="008E2B3B">
        <w:rPr>
          <w:sz w:val="21"/>
          <w:szCs w:val="21"/>
        </w:rPr>
        <w:t xml:space="preserve">HBEL </w:t>
      </w:r>
      <w:r w:rsidR="00BF0BE8" w:rsidRPr="008E2B3B">
        <w:rPr>
          <w:rFonts w:asciiTheme="minorEastAsia" w:eastAsiaTheme="minorEastAsia" w:hAnsiTheme="minorEastAsia" w:cs="Univers" w:hint="eastAsia"/>
          <w:sz w:val="21"/>
          <w:szCs w:val="21"/>
        </w:rPr>
        <w:t>=</w:t>
      </w:r>
      <w:r w:rsidRPr="008E2B3B">
        <w:rPr>
          <w:rFonts w:ascii="Univers" w:eastAsia="Univers" w:hAnsi="Univers" w:cs="Univers"/>
          <w:sz w:val="21"/>
          <w:szCs w:val="21"/>
        </w:rPr>
        <w:t xml:space="preserve"> </w:t>
      </w:r>
      <w:r w:rsidRPr="008E2B3B">
        <w:rPr>
          <w:sz w:val="21"/>
          <w:szCs w:val="21"/>
        </w:rPr>
        <w:t>TD</w:t>
      </w:r>
      <w:r w:rsidRPr="008E2B3B">
        <w:rPr>
          <w:sz w:val="21"/>
          <w:szCs w:val="21"/>
          <w:vertAlign w:val="subscript"/>
        </w:rPr>
        <w:t xml:space="preserve">50 </w:t>
      </w:r>
      <w:r w:rsidR="00BF0BE8" w:rsidRPr="008E2B3B">
        <w:rPr>
          <w:rFonts w:asciiTheme="minorEastAsia" w:eastAsiaTheme="minorEastAsia" w:hAnsiTheme="minorEastAsia" w:cs="Univers" w:hint="eastAsia"/>
          <w:sz w:val="21"/>
          <w:szCs w:val="21"/>
        </w:rPr>
        <w:t>*</w:t>
      </w:r>
      <w:r w:rsidRPr="008E2B3B">
        <w:rPr>
          <w:rFonts w:ascii="Univers" w:eastAsia="Univers" w:hAnsi="Univers" w:cs="Univers"/>
          <w:sz w:val="21"/>
          <w:szCs w:val="21"/>
        </w:rPr>
        <w:t xml:space="preserve"> </w:t>
      </w:r>
      <w:r w:rsidRPr="008E2B3B">
        <w:rPr>
          <w:sz w:val="21"/>
          <w:szCs w:val="21"/>
        </w:rPr>
        <w:t>BW⁄50 000</w:t>
      </w:r>
      <w:r w:rsidRPr="0074743A">
        <w:rPr>
          <w:sz w:val="17"/>
        </w:rPr>
        <w:tab/>
        <w:t>(12)</w:t>
      </w:r>
    </w:p>
    <w:p w14:paraId="463ECA38" w14:textId="637CA8D0" w:rsidR="0026097E" w:rsidRPr="0074743A" w:rsidRDefault="0026097E" w:rsidP="0074743A">
      <w:pPr>
        <w:spacing w:after="70"/>
        <w:ind w:firstLine="0"/>
      </w:pPr>
    </w:p>
    <w:p w14:paraId="71E08E6C" w14:textId="01BCCAB9" w:rsidR="0026097E" w:rsidRPr="0074743A" w:rsidRDefault="00284695">
      <w:pPr>
        <w:ind w:left="810" w:hanging="825"/>
      </w:pPr>
      <w:r w:rsidRPr="0074743A">
        <w:t>TD</w:t>
      </w:r>
      <w:r w:rsidRPr="0074743A">
        <w:rPr>
          <w:vertAlign w:val="subscript"/>
        </w:rPr>
        <w:t xml:space="preserve">50 </w:t>
      </w:r>
      <w:r w:rsidRPr="0074743A">
        <w:t>=</w:t>
      </w:r>
      <w:r w:rsidR="00BF0BE8" w:rsidRPr="0074743A">
        <w:rPr>
          <w:rFonts w:ascii="宋体" w:eastAsia="宋体" w:hAnsi="宋体" w:cs="宋体" w:hint="eastAsia"/>
        </w:rPr>
        <w:t>剂量导致背景和背景的肿瘤发生率达到</w:t>
      </w:r>
      <w:r w:rsidR="00BF0BE8" w:rsidRPr="0074743A">
        <w:t>50</w:t>
      </w:r>
      <w:r w:rsidR="00BF0BE8" w:rsidRPr="0074743A">
        <w:rPr>
          <w:rFonts w:ascii="宋体" w:eastAsia="宋体" w:hAnsi="宋体" w:cs="宋体" w:hint="eastAsia"/>
        </w:rPr>
        <w:t>％</w:t>
      </w:r>
    </w:p>
    <w:p w14:paraId="4EC4BB65" w14:textId="18CA2364" w:rsidR="0026097E" w:rsidRPr="0074743A" w:rsidRDefault="00284695">
      <w:pPr>
        <w:tabs>
          <w:tab w:val="center" w:pos="2012"/>
        </w:tabs>
        <w:spacing w:after="132"/>
        <w:ind w:left="-15" w:firstLine="0"/>
        <w:jc w:val="left"/>
      </w:pPr>
      <w:r w:rsidRPr="0074743A">
        <w:t>BW</w:t>
      </w:r>
      <w:r w:rsidRPr="0074743A">
        <w:tab/>
        <w:t xml:space="preserve">= </w:t>
      </w:r>
      <w:r w:rsidR="00BF0BE8" w:rsidRPr="0074743A">
        <w:rPr>
          <w:rFonts w:ascii="宋体" w:eastAsia="宋体" w:hAnsi="宋体" w:cs="宋体" w:hint="eastAsia"/>
        </w:rPr>
        <w:t>体重或</w:t>
      </w:r>
      <w:r w:rsidR="00BF0BE8" w:rsidRPr="0074743A">
        <w:t>50</w:t>
      </w:r>
      <w:r w:rsidR="00BF0BE8" w:rsidRPr="0074743A">
        <w:rPr>
          <w:rFonts w:ascii="宋体" w:eastAsia="宋体" w:hAnsi="宋体" w:cs="宋体" w:hint="eastAsia"/>
        </w:rPr>
        <w:t>公斤的人</w:t>
      </w:r>
      <w:r w:rsidRPr="0074743A">
        <w:t>.</w:t>
      </w:r>
    </w:p>
    <w:p w14:paraId="5C24A73D" w14:textId="77777777" w:rsidR="00BF0BE8" w:rsidRDefault="00284695" w:rsidP="00BF0BE8">
      <w:pPr>
        <w:spacing w:after="123"/>
        <w:ind w:left="-15"/>
      </w:pPr>
      <w:r>
        <w:t xml:space="preserve">10.2.2 </w:t>
      </w:r>
      <w:r w:rsidR="00BF0BE8">
        <w:rPr>
          <w:rFonts w:ascii="宋体" w:eastAsia="宋体" w:hAnsi="宋体" w:cs="宋体" w:hint="eastAsia"/>
        </w:rPr>
        <w:t>但是，对于在</w:t>
      </w:r>
      <w:r w:rsidR="00BF0BE8">
        <w:t>Ames</w:t>
      </w:r>
      <w:r w:rsidR="00BF0BE8">
        <w:rPr>
          <w:rFonts w:ascii="宋体" w:eastAsia="宋体" w:hAnsi="宋体" w:cs="宋体" w:hint="eastAsia"/>
        </w:rPr>
        <w:t>试验或类似诱变试验中呈阳性的诱变剂，人类的癌症效力尚不明确。因此，然后使用</w:t>
      </w:r>
      <w:r w:rsidR="00BF0BE8">
        <w:t>TTC</w:t>
      </w:r>
      <w:r w:rsidR="00BF0BE8">
        <w:rPr>
          <w:rFonts w:ascii="宋体" w:eastAsia="宋体" w:hAnsi="宋体" w:cs="宋体" w:hint="eastAsia"/>
        </w:rPr>
        <w:t>得出</w:t>
      </w:r>
      <w:r w:rsidR="00BF0BE8">
        <w:t>HBEL</w:t>
      </w:r>
      <w:r w:rsidR="00BF0BE8">
        <w:rPr>
          <w:rFonts w:ascii="宋体" w:eastAsia="宋体" w:hAnsi="宋体" w:cs="宋体" w:hint="eastAsia"/>
        </w:rPr>
        <w:t>，该</w:t>
      </w:r>
      <w:r w:rsidR="00BF0BE8">
        <w:t>HBEL</w:t>
      </w:r>
      <w:r w:rsidR="00BF0BE8">
        <w:rPr>
          <w:rFonts w:ascii="宋体" w:eastAsia="宋体" w:hAnsi="宋体" w:cs="宋体" w:hint="eastAsia"/>
        </w:rPr>
        <w:t>基于动物致癌性数据并计算剂量（假定该化合物为强致癌物），可导致</w:t>
      </w:r>
      <w:proofErr w:type="gramStart"/>
      <w:r w:rsidR="00BF0BE8">
        <w:t>10</w:t>
      </w:r>
      <w:proofErr w:type="gramEnd"/>
      <w:r w:rsidR="00BF0BE8">
        <w:rPr>
          <w:rFonts w:ascii="宋体" w:eastAsia="宋体" w:hAnsi="宋体" w:cs="宋体" w:hint="eastAsia"/>
        </w:rPr>
        <w:t>万分之一的癌症风险。如第</w:t>
      </w:r>
      <w:r w:rsidR="00BF0BE8">
        <w:t>6</w:t>
      </w:r>
      <w:r w:rsidR="00BF0BE8">
        <w:rPr>
          <w:rFonts w:ascii="宋体" w:eastAsia="宋体" w:hAnsi="宋体" w:cs="宋体" w:hint="eastAsia"/>
        </w:rPr>
        <w:t>节所述，终生诱变化合物的</w:t>
      </w:r>
      <w:r w:rsidR="00BF0BE8">
        <w:t>TTC</w:t>
      </w:r>
      <w:r w:rsidR="00BF0BE8">
        <w:rPr>
          <w:rFonts w:ascii="宋体" w:eastAsia="宋体" w:hAnsi="宋体" w:cs="宋体" w:hint="eastAsia"/>
        </w:rPr>
        <w:t>等于</w:t>
      </w:r>
      <w:r w:rsidR="00BF0BE8">
        <w:t>1.5 µg /</w:t>
      </w:r>
      <w:r w:rsidR="00BF0BE8">
        <w:rPr>
          <w:rFonts w:ascii="宋体" w:eastAsia="宋体" w:hAnsi="宋体" w:cs="宋体" w:hint="eastAsia"/>
        </w:rPr>
        <w:t>天。如果预期用于后续药物的剂量少于使用期限，则可以使用适用于预期暴露期限的</w:t>
      </w:r>
      <w:r w:rsidR="00BF0BE8">
        <w:t>ICH M7</w:t>
      </w:r>
      <w:r w:rsidR="00BF0BE8">
        <w:rPr>
          <w:rFonts w:ascii="宋体" w:eastAsia="宋体" w:hAnsi="宋体" w:cs="宋体" w:hint="eastAsia"/>
        </w:rPr>
        <w:t>（</w:t>
      </w:r>
      <w:r w:rsidR="00BF0BE8">
        <w:t>R1</w:t>
      </w:r>
      <w:r w:rsidR="00BF0BE8">
        <w:rPr>
          <w:rFonts w:ascii="宋体" w:eastAsia="宋体" w:hAnsi="宋体" w:cs="宋体" w:hint="eastAsia"/>
        </w:rPr>
        <w:t>）中的分阶段</w:t>
      </w:r>
      <w:r w:rsidR="00BF0BE8">
        <w:t>TTC</w:t>
      </w:r>
      <w:r w:rsidR="00BF0BE8">
        <w:rPr>
          <w:rFonts w:ascii="宋体" w:eastAsia="宋体" w:hAnsi="宋体" w:cs="宋体" w:hint="eastAsia"/>
        </w:rPr>
        <w:t>值。</w:t>
      </w:r>
    </w:p>
    <w:p w14:paraId="0530B2F8" w14:textId="77777777" w:rsidR="00BF0BE8" w:rsidRDefault="00BF0BE8" w:rsidP="00BF0BE8">
      <w:pPr>
        <w:spacing w:after="123"/>
        <w:ind w:left="-15"/>
      </w:pPr>
      <w:r>
        <w:t>10.3</w:t>
      </w:r>
      <w:r>
        <w:rPr>
          <w:rFonts w:ascii="宋体" w:eastAsia="宋体" w:hAnsi="宋体" w:cs="宋体" w:hint="eastAsia"/>
        </w:rPr>
        <w:t>生殖</w:t>
      </w:r>
      <w:r>
        <w:t>/</w:t>
      </w:r>
      <w:r>
        <w:rPr>
          <w:rFonts w:ascii="宋体" w:eastAsia="宋体" w:hAnsi="宋体" w:cs="宋体" w:hint="eastAsia"/>
        </w:rPr>
        <w:t>发育毒性－为确保保护所有人群，应将残留的活性物质减少到不会对生殖和发育参数产生不利影响的风险。由于伦理学原因，在研究性药物产品（</w:t>
      </w:r>
      <w:r>
        <w:t>IMP</w:t>
      </w:r>
      <w:r>
        <w:rPr>
          <w:rFonts w:ascii="宋体" w:eastAsia="宋体" w:hAnsi="宋体" w:cs="宋体" w:hint="eastAsia"/>
        </w:rPr>
        <w:t>）中通常无法在人类中测量发育毒性。同样，可能有生育能力的男性和女性在临床试验中可能需要使用避孕药具，因此生殖结果尚不清楚。可以通过上市后研究得出数据以评估这些风险。但是，对于上市后研究，剂量反应尚不明确。因此，通常使用动物的胚胎</w:t>
      </w:r>
      <w:r>
        <w:t>-</w:t>
      </w:r>
      <w:r>
        <w:rPr>
          <w:rFonts w:ascii="宋体" w:eastAsia="宋体" w:hAnsi="宋体" w:cs="宋体" w:hint="eastAsia"/>
        </w:rPr>
        <w:t>胎儿和生育力研究来确定对人类生殖</w:t>
      </w:r>
      <w:r>
        <w:t>/</w:t>
      </w:r>
      <w:r>
        <w:rPr>
          <w:rFonts w:ascii="宋体" w:eastAsia="宋体" w:hAnsi="宋体" w:cs="宋体" w:hint="eastAsia"/>
        </w:rPr>
        <w:t>发育不利影响的潜力。此外，重复剂量的一般毒性研究测量了对男性和女性器官的组织病理学影响，这些作用也将用于评估生殖毒性的潜力和可逆性。鉴于这些端点通常是无法在人体中测量的，因此尽管其剂量高于人类治疗剂量，但通常可以将动物的选择性发育或生殖作用用作</w:t>
      </w:r>
      <w:proofErr w:type="spellStart"/>
      <w:r>
        <w:t>PoD</w:t>
      </w:r>
      <w:proofErr w:type="spellEnd"/>
      <w:r>
        <w:rPr>
          <w:rFonts w:ascii="宋体" w:eastAsia="宋体" w:hAnsi="宋体" w:cs="宋体" w:hint="eastAsia"/>
        </w:rPr>
        <w:t>。</w:t>
      </w:r>
    </w:p>
    <w:p w14:paraId="384E8579" w14:textId="77777777" w:rsidR="00BF0BE8" w:rsidRDefault="00BF0BE8" w:rsidP="00BF0BE8">
      <w:pPr>
        <w:spacing w:after="123"/>
        <w:ind w:left="-15"/>
      </w:pPr>
      <w:r>
        <w:t>10.4</w:t>
      </w:r>
      <w:r>
        <w:rPr>
          <w:rFonts w:ascii="宋体" w:eastAsia="宋体" w:hAnsi="宋体" w:cs="宋体" w:hint="eastAsia"/>
        </w:rPr>
        <w:t>细胞毒性：</w:t>
      </w:r>
    </w:p>
    <w:p w14:paraId="0B8523E5" w14:textId="37634155" w:rsidR="0026097E" w:rsidRDefault="00BF0BE8" w:rsidP="00BF0BE8">
      <w:pPr>
        <w:spacing w:after="123"/>
        <w:ind w:left="-15"/>
      </w:pPr>
      <w:r>
        <w:t>10.4.1</w:t>
      </w:r>
      <w:r>
        <w:rPr>
          <w:rFonts w:ascii="宋体" w:eastAsia="宋体" w:hAnsi="宋体" w:cs="宋体" w:hint="eastAsia"/>
        </w:rPr>
        <w:t>从历史上看，由于存在已知的风险，以前必须在专用或隔离的自备设施中生产某些类别的药品，包括</w:t>
      </w:r>
      <w:r>
        <w:t>“</w:t>
      </w:r>
      <w:r>
        <w:rPr>
          <w:rFonts w:ascii="宋体" w:eastAsia="宋体" w:hAnsi="宋体" w:cs="宋体" w:hint="eastAsia"/>
        </w:rPr>
        <w:t>某些抗生素，某些激素，某些细胞毒素和某些高活性药物</w:t>
      </w:r>
      <w:r>
        <w:t>”</w:t>
      </w:r>
      <w:r>
        <w:rPr>
          <w:rFonts w:ascii="宋体" w:eastAsia="宋体" w:hAnsi="宋体" w:cs="宋体" w:hint="eastAsia"/>
        </w:rPr>
        <w:t>。在交叉污染和</w:t>
      </w:r>
      <w:r>
        <w:t>HBEL</w:t>
      </w:r>
      <w:r>
        <w:rPr>
          <w:rFonts w:ascii="宋体" w:eastAsia="宋体" w:hAnsi="宋体" w:cs="宋体" w:hint="eastAsia"/>
        </w:rPr>
        <w:t>设置的监管指南中，术语</w:t>
      </w:r>
      <w:r>
        <w:t>“</w:t>
      </w:r>
      <w:r>
        <w:rPr>
          <w:rFonts w:ascii="宋体" w:eastAsia="宋体" w:hAnsi="宋体" w:cs="宋体" w:hint="eastAsia"/>
        </w:rPr>
        <w:t>细胞毒性</w:t>
      </w:r>
      <w:r>
        <w:t>”</w:t>
      </w:r>
      <w:r>
        <w:rPr>
          <w:rFonts w:ascii="宋体" w:eastAsia="宋体" w:hAnsi="宋体" w:cs="宋体" w:hint="eastAsia"/>
        </w:rPr>
        <w:t>的使用一直存在问题，因为没有官方的监管指南可帮助制造商在这些未明确定义的类别中区分单个产品。欧盟和</w:t>
      </w:r>
      <w:r>
        <w:t>PIC / S GMP</w:t>
      </w:r>
      <w:r>
        <w:rPr>
          <w:rFonts w:ascii="宋体" w:eastAsia="宋体" w:hAnsi="宋体" w:cs="宋体" w:hint="eastAsia"/>
        </w:rPr>
        <w:t>准则的第</w:t>
      </w:r>
      <w:r>
        <w:t>3</w:t>
      </w:r>
      <w:r>
        <w:rPr>
          <w:rFonts w:ascii="宋体" w:eastAsia="宋体" w:hAnsi="宋体" w:cs="宋体" w:hint="eastAsia"/>
        </w:rPr>
        <w:t>章和第</w:t>
      </w:r>
      <w:r>
        <w:t>5</w:t>
      </w:r>
      <w:r>
        <w:rPr>
          <w:rFonts w:ascii="宋体" w:eastAsia="宋体" w:hAnsi="宋体" w:cs="宋体" w:hint="eastAsia"/>
        </w:rPr>
        <w:t>章进行了修订（</w:t>
      </w:r>
      <w:r>
        <w:t>27</w:t>
      </w:r>
      <w:r>
        <w:rPr>
          <w:rFonts w:ascii="宋体" w:eastAsia="宋体" w:hAnsi="宋体" w:cs="宋体" w:hint="eastAsia"/>
        </w:rPr>
        <w:t>、</w:t>
      </w:r>
      <w:r>
        <w:t>28</w:t>
      </w:r>
      <w:r>
        <w:rPr>
          <w:rFonts w:ascii="宋体" w:eastAsia="宋体" w:hAnsi="宋体" w:cs="宋体" w:hint="eastAsia"/>
        </w:rPr>
        <w:t>、</w:t>
      </w:r>
      <w:r>
        <w:t>124</w:t>
      </w:r>
      <w:r>
        <w:rPr>
          <w:rFonts w:ascii="宋体" w:eastAsia="宋体" w:hAnsi="宋体" w:cs="宋体" w:hint="eastAsia"/>
        </w:rPr>
        <w:t>），以支持基于科学和风险的制造方法，在准则中称为</w:t>
      </w:r>
      <w:r>
        <w:t>“</w:t>
      </w:r>
      <w:r>
        <w:rPr>
          <w:rFonts w:ascii="宋体" w:eastAsia="宋体" w:hAnsi="宋体" w:cs="宋体" w:hint="eastAsia"/>
        </w:rPr>
        <w:t>毒理学评估</w:t>
      </w:r>
      <w:r>
        <w:t>”</w:t>
      </w:r>
      <w:r>
        <w:rPr>
          <w:rFonts w:ascii="宋体" w:eastAsia="宋体" w:hAnsi="宋体" w:cs="宋体" w:hint="eastAsia"/>
        </w:rPr>
        <w:t>，并且已删除关于细胞毒性的任何提及（</w:t>
      </w:r>
      <w:r>
        <w:t>14</w:t>
      </w:r>
      <w:r>
        <w:rPr>
          <w:rFonts w:ascii="宋体" w:eastAsia="宋体" w:hAnsi="宋体" w:cs="宋体" w:hint="eastAsia"/>
        </w:rPr>
        <w:t>、</w:t>
      </w:r>
      <w:r>
        <w:t>52</w:t>
      </w:r>
      <w:r>
        <w:rPr>
          <w:rFonts w:ascii="宋体" w:eastAsia="宋体" w:hAnsi="宋体" w:cs="宋体" w:hint="eastAsia"/>
        </w:rPr>
        <w:t>）。根据</w:t>
      </w:r>
      <w:r>
        <w:t>GMP</w:t>
      </w:r>
      <w:r>
        <w:rPr>
          <w:rFonts w:ascii="宋体" w:eastAsia="宋体" w:hAnsi="宋体" w:cs="宋体" w:hint="eastAsia"/>
        </w:rPr>
        <w:t>指南的第</w:t>
      </w:r>
      <w:r>
        <w:t>3</w:t>
      </w:r>
      <w:r>
        <w:rPr>
          <w:rFonts w:ascii="宋体" w:eastAsia="宋体" w:hAnsi="宋体" w:cs="宋体" w:hint="eastAsia"/>
        </w:rPr>
        <w:t>章，当药品存在风险时，需要专用的制造设备</w:t>
      </w:r>
      <w:r w:rsidR="00284695">
        <w:t>:</w:t>
      </w:r>
    </w:p>
    <w:p w14:paraId="7627992D" w14:textId="77777777" w:rsidR="00BF0BE8" w:rsidRDefault="00284695" w:rsidP="00BF0BE8">
      <w:pPr>
        <w:ind w:left="-15"/>
      </w:pPr>
      <w:r>
        <w:t xml:space="preserve">10.4.1.1 </w:t>
      </w:r>
      <w:r w:rsidR="00BF0BE8">
        <w:rPr>
          <w:rFonts w:ascii="宋体" w:eastAsia="宋体" w:hAnsi="宋体" w:cs="宋体" w:hint="eastAsia"/>
        </w:rPr>
        <w:t>操作或技术措施或两者不能充分控制；</w:t>
      </w:r>
    </w:p>
    <w:p w14:paraId="682C49CF" w14:textId="77777777" w:rsidR="00BF0BE8" w:rsidRDefault="00BF0BE8" w:rsidP="00BF0BE8">
      <w:pPr>
        <w:ind w:left="-15"/>
      </w:pPr>
      <w:r>
        <w:t>10.4.1.2</w:t>
      </w:r>
      <w:r>
        <w:rPr>
          <w:rFonts w:ascii="宋体" w:eastAsia="宋体" w:hAnsi="宋体" w:cs="宋体" w:hint="eastAsia"/>
        </w:rPr>
        <w:t>科学数据不支持阈值（例如，高度敏感的材料（如</w:t>
      </w:r>
      <w:r>
        <w:t>β-</w:t>
      </w:r>
      <w:r>
        <w:rPr>
          <w:rFonts w:ascii="宋体" w:eastAsia="宋体" w:hAnsi="宋体" w:cs="宋体" w:hint="eastAsia"/>
        </w:rPr>
        <w:t>内酰胺）的致敏潜力）；</w:t>
      </w:r>
    </w:p>
    <w:p w14:paraId="06186AC9" w14:textId="77777777" w:rsidR="00BF0BE8" w:rsidRDefault="00BF0BE8" w:rsidP="00BF0BE8">
      <w:pPr>
        <w:ind w:left="-15"/>
      </w:pPr>
      <w:r>
        <w:t>10.4.1.3</w:t>
      </w:r>
      <w:r>
        <w:rPr>
          <w:rFonts w:ascii="宋体" w:eastAsia="宋体" w:hAnsi="宋体" w:cs="宋体" w:hint="eastAsia"/>
        </w:rPr>
        <w:t>从毒理学评估得出的阈值低于检测水平；要么</w:t>
      </w:r>
    </w:p>
    <w:p w14:paraId="71C559AA" w14:textId="77777777" w:rsidR="00BF0BE8" w:rsidRDefault="00BF0BE8" w:rsidP="00BF0BE8">
      <w:pPr>
        <w:ind w:left="-15"/>
      </w:pPr>
      <w:r>
        <w:t>10.4.1.4</w:t>
      </w:r>
      <w:r>
        <w:rPr>
          <w:rFonts w:ascii="宋体" w:eastAsia="宋体" w:hAnsi="宋体" w:cs="宋体" w:hint="eastAsia"/>
        </w:rPr>
        <w:t>如参考文献（</w:t>
      </w:r>
      <w:r>
        <w:t>9</w:t>
      </w:r>
      <w:r>
        <w:rPr>
          <w:rFonts w:ascii="宋体" w:eastAsia="宋体" w:hAnsi="宋体" w:cs="宋体" w:hint="eastAsia"/>
        </w:rPr>
        <w:t>）中所述，术语</w:t>
      </w:r>
      <w:r>
        <w:t>“</w:t>
      </w:r>
      <w:r>
        <w:rPr>
          <w:rFonts w:ascii="宋体" w:eastAsia="宋体" w:hAnsi="宋体" w:cs="宋体" w:hint="eastAsia"/>
        </w:rPr>
        <w:t>细胞毒性</w:t>
      </w:r>
      <w:r>
        <w:t>”</w:t>
      </w:r>
      <w:r>
        <w:rPr>
          <w:rFonts w:ascii="宋体" w:eastAsia="宋体" w:hAnsi="宋体" w:cs="宋体" w:hint="eastAsia"/>
        </w:rPr>
        <w:t>是指对细胞有毒性的物质。在</w:t>
      </w:r>
      <w:r>
        <w:t>“</w:t>
      </w:r>
      <w:r>
        <w:rPr>
          <w:rFonts w:ascii="宋体" w:eastAsia="宋体" w:hAnsi="宋体" w:cs="宋体" w:hint="eastAsia"/>
        </w:rPr>
        <w:t>剂量使毒素中毒</w:t>
      </w:r>
      <w:r>
        <w:t>”</w:t>
      </w:r>
      <w:r>
        <w:rPr>
          <w:rFonts w:ascii="宋体" w:eastAsia="宋体" w:hAnsi="宋体" w:cs="宋体" w:hint="eastAsia"/>
        </w:rPr>
        <w:t>的上下文中，人们可以准确地说，每种化学物质都是细胞毒性的，因为在某种浓度下它会杀死细胞。因此，术语细胞毒性没有任何价值。</w:t>
      </w:r>
    </w:p>
    <w:p w14:paraId="3B0DB4E3" w14:textId="77777777" w:rsidR="00BF0BE8" w:rsidRDefault="00BF0BE8" w:rsidP="00BF0BE8">
      <w:pPr>
        <w:ind w:left="-15"/>
      </w:pPr>
      <w:r>
        <w:t>10.4.2</w:t>
      </w:r>
      <w:r>
        <w:rPr>
          <w:rFonts w:ascii="宋体" w:eastAsia="宋体" w:hAnsi="宋体" w:cs="宋体" w:hint="eastAsia"/>
        </w:rPr>
        <w:t>在仍然需要的情况下，应采用包括机械理解在内的证据权重方法对</w:t>
      </w:r>
      <w:r>
        <w:t>API</w:t>
      </w:r>
      <w:r>
        <w:rPr>
          <w:rFonts w:ascii="宋体" w:eastAsia="宋体" w:hAnsi="宋体" w:cs="宋体" w:hint="eastAsia"/>
        </w:rPr>
        <w:t>的细胞毒性进行评估（</w:t>
      </w:r>
      <w:r>
        <w:t>125</w:t>
      </w:r>
      <w:r>
        <w:rPr>
          <w:rFonts w:ascii="宋体" w:eastAsia="宋体" w:hAnsi="宋体" w:cs="宋体" w:hint="eastAsia"/>
        </w:rPr>
        <w:t>）。</w:t>
      </w:r>
      <w:r>
        <w:t xml:space="preserve"> Winkler</w:t>
      </w:r>
      <w:r>
        <w:rPr>
          <w:rFonts w:ascii="宋体" w:eastAsia="宋体" w:hAnsi="宋体" w:cs="宋体" w:hint="eastAsia"/>
        </w:rPr>
        <w:t>等人（</w:t>
      </w:r>
      <w:r>
        <w:t>126</w:t>
      </w:r>
      <w:r>
        <w:rPr>
          <w:rFonts w:ascii="宋体" w:eastAsia="宋体" w:hAnsi="宋体" w:cs="宋体" w:hint="eastAsia"/>
        </w:rPr>
        <w:t>）定义了与作用机制有关的细胞毒性，并使用术语</w:t>
      </w:r>
      <w:r>
        <w:t>“</w:t>
      </w:r>
      <w:r>
        <w:rPr>
          <w:rFonts w:ascii="宋体" w:eastAsia="宋体" w:hAnsi="宋体" w:cs="宋体" w:hint="eastAsia"/>
        </w:rPr>
        <w:t>细胞毒性癌症药物</w:t>
      </w:r>
      <w:r>
        <w:t>”</w:t>
      </w:r>
      <w:r>
        <w:rPr>
          <w:rFonts w:ascii="宋体" w:eastAsia="宋体" w:hAnsi="宋体" w:cs="宋体" w:hint="eastAsia"/>
        </w:rPr>
        <w:t>来指代直接作用的</w:t>
      </w:r>
      <w:r>
        <w:t>DNA</w:t>
      </w:r>
      <w:r>
        <w:rPr>
          <w:rFonts w:ascii="宋体" w:eastAsia="宋体" w:hAnsi="宋体" w:cs="宋体" w:hint="eastAsia"/>
        </w:rPr>
        <w:t>机制，与其他肿瘤药物的</w:t>
      </w:r>
      <w:r>
        <w:t>“</w:t>
      </w:r>
      <w:r>
        <w:rPr>
          <w:rFonts w:ascii="宋体" w:eastAsia="宋体" w:hAnsi="宋体" w:cs="宋体" w:hint="eastAsia"/>
        </w:rPr>
        <w:t>靶向癌症疗法</w:t>
      </w:r>
      <w:r>
        <w:t>”</w:t>
      </w:r>
      <w:r>
        <w:rPr>
          <w:rFonts w:ascii="宋体" w:eastAsia="宋体" w:hAnsi="宋体" w:cs="宋体" w:hint="eastAsia"/>
        </w:rPr>
        <w:t>不同。用于评估安全性的细胞毒性癌症药物的定义由三个标准描述：</w:t>
      </w:r>
    </w:p>
    <w:p w14:paraId="17E1321F" w14:textId="77777777" w:rsidR="00BF0BE8" w:rsidRDefault="00BF0BE8" w:rsidP="00BF0BE8">
      <w:pPr>
        <w:ind w:left="-15"/>
      </w:pPr>
      <w:r>
        <w:t>10.4.2.1</w:t>
      </w:r>
      <w:r>
        <w:rPr>
          <w:rFonts w:ascii="宋体" w:eastAsia="宋体" w:hAnsi="宋体" w:cs="宋体" w:hint="eastAsia"/>
        </w:rPr>
        <w:t>作用机理是直接破坏</w:t>
      </w:r>
      <w:r>
        <w:t>DNA</w:t>
      </w:r>
      <w:r>
        <w:rPr>
          <w:rFonts w:ascii="宋体" w:eastAsia="宋体" w:hAnsi="宋体" w:cs="宋体" w:hint="eastAsia"/>
        </w:rPr>
        <w:t>结构或有丝分裂功能（例如，嵌入，</w:t>
      </w:r>
      <w:proofErr w:type="gramStart"/>
      <w:r>
        <w:rPr>
          <w:rFonts w:ascii="宋体" w:eastAsia="宋体" w:hAnsi="宋体" w:cs="宋体" w:hint="eastAsia"/>
        </w:rPr>
        <w:t>致裂性和</w:t>
      </w:r>
      <w:proofErr w:type="gramEnd"/>
      <w:r>
        <w:rPr>
          <w:rFonts w:ascii="宋体" w:eastAsia="宋体" w:hAnsi="宋体" w:cs="宋体" w:hint="eastAsia"/>
        </w:rPr>
        <w:t>纺锤体破坏导致细胞死亡）；</w:t>
      </w:r>
    </w:p>
    <w:p w14:paraId="354C97F1" w14:textId="77777777" w:rsidR="00BF0BE8" w:rsidRDefault="00BF0BE8" w:rsidP="00BF0BE8">
      <w:pPr>
        <w:ind w:left="-15"/>
      </w:pPr>
      <w:r>
        <w:t>10.4.2.2</w:t>
      </w:r>
      <w:r>
        <w:rPr>
          <w:rFonts w:ascii="宋体" w:eastAsia="宋体" w:hAnsi="宋体" w:cs="宋体" w:hint="eastAsia"/>
        </w:rPr>
        <w:t>上述作用机制不能选择性地靶向肿瘤细胞或在肿瘤细胞与非肿瘤细胞之间的敏感性上有所区别；和</w:t>
      </w:r>
    </w:p>
    <w:p w14:paraId="566DD9BB" w14:textId="77777777" w:rsidR="00BF0BE8" w:rsidRDefault="00BF0BE8" w:rsidP="00BF0BE8">
      <w:pPr>
        <w:ind w:left="-15"/>
      </w:pPr>
      <w:r>
        <w:t>10.4.2.3</w:t>
      </w:r>
      <w:r>
        <w:rPr>
          <w:rFonts w:ascii="宋体" w:eastAsia="宋体" w:hAnsi="宋体" w:cs="宋体" w:hint="eastAsia"/>
        </w:rPr>
        <w:t>细胞培养测定，基因毒性和实验动物研究或人类临床研究的结果表明，与活组织中的非肿瘤细胞相比，该药物的毒性既</w:t>
      </w:r>
      <w:proofErr w:type="gramStart"/>
      <w:r>
        <w:rPr>
          <w:rFonts w:ascii="宋体" w:eastAsia="宋体" w:hAnsi="宋体" w:cs="宋体" w:hint="eastAsia"/>
        </w:rPr>
        <w:t>不</w:t>
      </w:r>
      <w:proofErr w:type="gramEnd"/>
      <w:r>
        <w:rPr>
          <w:rFonts w:ascii="宋体" w:eastAsia="宋体" w:hAnsi="宋体" w:cs="宋体" w:hint="eastAsia"/>
        </w:rPr>
        <w:t>特异于肿瘤细胞，也不表现出明显不同的敏感性。</w:t>
      </w:r>
    </w:p>
    <w:p w14:paraId="0DB71C19" w14:textId="4F46CB53" w:rsidR="0026097E" w:rsidRDefault="00BF0BE8" w:rsidP="00BF0BE8">
      <w:pPr>
        <w:ind w:left="-15"/>
      </w:pPr>
      <w:r>
        <w:t>10.4.3</w:t>
      </w:r>
      <w:r>
        <w:rPr>
          <w:rFonts w:ascii="宋体" w:eastAsia="宋体" w:hAnsi="宋体" w:cs="宋体" w:hint="eastAsia"/>
        </w:rPr>
        <w:t>在《欧盟和</w:t>
      </w:r>
      <w:r>
        <w:t>PIC / S</w:t>
      </w:r>
      <w:r>
        <w:rPr>
          <w:rFonts w:ascii="宋体" w:eastAsia="宋体" w:hAnsi="宋体" w:cs="宋体" w:hint="eastAsia"/>
        </w:rPr>
        <w:t>药品生产质量管理规范指南》第</w:t>
      </w:r>
      <w:r>
        <w:t>5</w:t>
      </w:r>
      <w:r>
        <w:rPr>
          <w:rFonts w:ascii="宋体" w:eastAsia="宋体" w:hAnsi="宋体" w:cs="宋体" w:hint="eastAsia"/>
        </w:rPr>
        <w:t>章中，声明应使用包括效价和毒理学评估在内的质量风险管理过程来评估和控制所提出的交叉污染风险通过制造的产品（</w:t>
      </w:r>
      <w:r>
        <w:t>27</w:t>
      </w:r>
      <w:r>
        <w:rPr>
          <w:rFonts w:ascii="宋体" w:eastAsia="宋体" w:hAnsi="宋体" w:cs="宋体" w:hint="eastAsia"/>
        </w:rPr>
        <w:t>，</w:t>
      </w:r>
      <w:r>
        <w:t>124</w:t>
      </w:r>
      <w:r>
        <w:rPr>
          <w:rFonts w:ascii="宋体" w:eastAsia="宋体" w:hAnsi="宋体" w:cs="宋体" w:hint="eastAsia"/>
        </w:rPr>
        <w:t>）。当毒理学评估支持阈值时，应将其用作风险评估中的输入参数</w:t>
      </w:r>
    </w:p>
    <w:p w14:paraId="601AF888" w14:textId="77777777" w:rsidR="00BF0BE8" w:rsidRPr="0074743A" w:rsidRDefault="00284695" w:rsidP="00BF0BE8">
      <w:pPr>
        <w:spacing w:after="48" w:line="248" w:lineRule="auto"/>
        <w:ind w:firstLine="190"/>
        <w:rPr>
          <w:iCs/>
        </w:rPr>
      </w:pPr>
      <w:r>
        <w:t>10.5</w:t>
      </w:r>
      <w:r w:rsidRPr="0074743A">
        <w:rPr>
          <w:iCs/>
        </w:rPr>
        <w:t xml:space="preserve"> </w:t>
      </w:r>
      <w:r w:rsidR="00BF0BE8" w:rsidRPr="0074743A">
        <w:rPr>
          <w:rFonts w:ascii="宋体" w:eastAsia="宋体" w:hAnsi="宋体" w:cs="宋体" w:hint="eastAsia"/>
          <w:iCs/>
        </w:rPr>
        <w:t>强力分子</w:t>
      </w:r>
      <w:r w:rsidR="00BF0BE8" w:rsidRPr="0074743A">
        <w:rPr>
          <w:iCs/>
        </w:rPr>
        <w:t>[</w:t>
      </w:r>
      <w:r w:rsidR="00BF0BE8" w:rsidRPr="0074743A">
        <w:rPr>
          <w:rFonts w:ascii="宋体" w:eastAsia="宋体" w:hAnsi="宋体" w:cs="宋体" w:hint="eastAsia"/>
          <w:iCs/>
        </w:rPr>
        <w:t>例如，抗体</w:t>
      </w:r>
      <w:r w:rsidR="00BF0BE8" w:rsidRPr="0074743A">
        <w:rPr>
          <w:iCs/>
        </w:rPr>
        <w:t>-</w:t>
      </w:r>
      <w:r w:rsidR="00BF0BE8" w:rsidRPr="0074743A">
        <w:rPr>
          <w:rFonts w:ascii="宋体" w:eastAsia="宋体" w:hAnsi="宋体" w:cs="宋体" w:hint="eastAsia"/>
          <w:iCs/>
        </w:rPr>
        <w:t>药物偶联物（</w:t>
      </w:r>
      <w:r w:rsidR="00BF0BE8" w:rsidRPr="0074743A">
        <w:rPr>
          <w:iCs/>
        </w:rPr>
        <w:t>ADC</w:t>
      </w:r>
      <w:r w:rsidR="00BF0BE8" w:rsidRPr="0074743A">
        <w:rPr>
          <w:rFonts w:ascii="宋体" w:eastAsia="宋体" w:hAnsi="宋体" w:cs="宋体" w:hint="eastAsia"/>
          <w:iCs/>
        </w:rPr>
        <w:t>）</w:t>
      </w:r>
      <w:r w:rsidR="00BF0BE8" w:rsidRPr="0074743A">
        <w:rPr>
          <w:iCs/>
        </w:rPr>
        <w:t>]</w:t>
      </w:r>
      <w:r w:rsidR="00BF0BE8" w:rsidRPr="0074743A">
        <w:rPr>
          <w:rFonts w:ascii="宋体" w:eastAsia="宋体" w:hAnsi="宋体" w:cs="宋体" w:hint="eastAsia"/>
          <w:iCs/>
        </w:rPr>
        <w:t>：</w:t>
      </w:r>
    </w:p>
    <w:p w14:paraId="05BD6622" w14:textId="77777777" w:rsidR="00BF0BE8" w:rsidRPr="0074743A" w:rsidRDefault="00BF0BE8" w:rsidP="00BF0BE8">
      <w:pPr>
        <w:spacing w:after="48" w:line="248" w:lineRule="auto"/>
        <w:ind w:firstLine="190"/>
        <w:rPr>
          <w:iCs/>
        </w:rPr>
      </w:pPr>
      <w:r w:rsidRPr="0074743A">
        <w:rPr>
          <w:iCs/>
        </w:rPr>
        <w:t>10.5.1</w:t>
      </w:r>
      <w:r w:rsidRPr="0074743A">
        <w:rPr>
          <w:rFonts w:ascii="宋体" w:eastAsia="宋体" w:hAnsi="宋体" w:cs="宋体" w:hint="eastAsia"/>
          <w:iCs/>
        </w:rPr>
        <w:t>应避免使用</w:t>
      </w:r>
      <w:r w:rsidRPr="0074743A">
        <w:rPr>
          <w:iCs/>
        </w:rPr>
        <w:t>“</w:t>
      </w:r>
      <w:r w:rsidRPr="0074743A">
        <w:rPr>
          <w:rFonts w:ascii="宋体" w:eastAsia="宋体" w:hAnsi="宋体" w:cs="宋体" w:hint="eastAsia"/>
          <w:iCs/>
        </w:rPr>
        <w:t>有效分子</w:t>
      </w:r>
      <w:r w:rsidRPr="0074743A">
        <w:rPr>
          <w:iCs/>
        </w:rPr>
        <w:t>”</w:t>
      </w:r>
      <w:r w:rsidRPr="0074743A">
        <w:rPr>
          <w:rFonts w:ascii="宋体" w:eastAsia="宋体" w:hAnsi="宋体" w:cs="宋体" w:hint="eastAsia"/>
          <w:iCs/>
        </w:rPr>
        <w:t>一词，因为这违背为每种化合物设定特定于物质的</w:t>
      </w:r>
      <w:r w:rsidRPr="0074743A">
        <w:rPr>
          <w:iCs/>
        </w:rPr>
        <w:t>HBEL</w:t>
      </w:r>
      <w:r w:rsidRPr="0074743A">
        <w:rPr>
          <w:rFonts w:ascii="宋体" w:eastAsia="宋体" w:hAnsi="宋体" w:cs="宋体" w:hint="eastAsia"/>
          <w:iCs/>
        </w:rPr>
        <w:t>的精神。</w:t>
      </w:r>
      <w:r w:rsidRPr="0074743A">
        <w:rPr>
          <w:iCs/>
        </w:rPr>
        <w:t xml:space="preserve"> HBEL</w:t>
      </w:r>
      <w:r w:rsidRPr="0074743A">
        <w:rPr>
          <w:rFonts w:ascii="宋体" w:eastAsia="宋体" w:hAnsi="宋体" w:cs="宋体" w:hint="eastAsia"/>
          <w:iCs/>
        </w:rPr>
        <w:t>是每个分子的毒性或生物活性的量度。在讨论中引入诸如</w:t>
      </w:r>
      <w:r w:rsidRPr="0074743A">
        <w:rPr>
          <w:iCs/>
        </w:rPr>
        <w:t>“</w:t>
      </w:r>
      <w:r w:rsidRPr="0074743A">
        <w:rPr>
          <w:rFonts w:ascii="宋体" w:eastAsia="宋体" w:hAnsi="宋体" w:cs="宋体" w:hint="eastAsia"/>
          <w:iCs/>
        </w:rPr>
        <w:t>有效分子</w:t>
      </w:r>
      <w:r w:rsidRPr="0074743A">
        <w:rPr>
          <w:iCs/>
        </w:rPr>
        <w:t>”</w:t>
      </w:r>
      <w:r w:rsidRPr="0074743A">
        <w:rPr>
          <w:rFonts w:ascii="宋体" w:eastAsia="宋体" w:hAnsi="宋体" w:cs="宋体" w:hint="eastAsia"/>
          <w:iCs/>
        </w:rPr>
        <w:t>之类的术语意味着在</w:t>
      </w:r>
      <w:r w:rsidRPr="0074743A">
        <w:rPr>
          <w:iCs/>
        </w:rPr>
        <w:t>HBEL</w:t>
      </w:r>
      <w:r w:rsidRPr="0074743A">
        <w:rPr>
          <w:rFonts w:ascii="宋体" w:eastAsia="宋体" w:hAnsi="宋体" w:cs="宋体" w:hint="eastAsia"/>
          <w:iCs/>
        </w:rPr>
        <w:t>范围内划定一条人为界线，以黑白方式将所有化合物分为两组：有效化合物与非有效化合物。交叉污染的担忧往往会随着分子效力的增加而增加，也就是说，对于</w:t>
      </w:r>
      <w:r w:rsidRPr="0074743A">
        <w:rPr>
          <w:iCs/>
        </w:rPr>
        <w:t>HBEL</w:t>
      </w:r>
      <w:r w:rsidRPr="0074743A">
        <w:rPr>
          <w:rFonts w:ascii="宋体" w:eastAsia="宋体" w:hAnsi="宋体" w:cs="宋体" w:hint="eastAsia"/>
          <w:iCs/>
        </w:rPr>
        <w:t>极低的分子，过度交叉污染的</w:t>
      </w:r>
      <w:r w:rsidRPr="0074743A">
        <w:rPr>
          <w:rFonts w:ascii="宋体" w:eastAsia="宋体" w:hAnsi="宋体" w:cs="宋体" w:hint="eastAsia"/>
          <w:iCs/>
        </w:rPr>
        <w:lastRenderedPageBreak/>
        <w:t>风险通常会更大。但是，这是清洁功能问题，而不是与设置</w:t>
      </w:r>
      <w:r w:rsidRPr="0074743A">
        <w:rPr>
          <w:iCs/>
        </w:rPr>
        <w:t>HBEL</w:t>
      </w:r>
      <w:r w:rsidRPr="0074743A">
        <w:rPr>
          <w:rFonts w:ascii="宋体" w:eastAsia="宋体" w:hAnsi="宋体" w:cs="宋体" w:hint="eastAsia"/>
          <w:iCs/>
        </w:rPr>
        <w:t>有关的问题。</w:t>
      </w:r>
    </w:p>
    <w:p w14:paraId="4E03C8F8" w14:textId="77777777" w:rsidR="00BF0BE8" w:rsidRPr="0074743A" w:rsidRDefault="00BF0BE8" w:rsidP="00BF0BE8">
      <w:pPr>
        <w:spacing w:after="48" w:line="248" w:lineRule="auto"/>
        <w:ind w:firstLine="190"/>
        <w:rPr>
          <w:iCs/>
        </w:rPr>
      </w:pPr>
      <w:r w:rsidRPr="0074743A">
        <w:rPr>
          <w:iCs/>
        </w:rPr>
        <w:t>10.5.2</w:t>
      </w:r>
      <w:r w:rsidRPr="0074743A">
        <w:rPr>
          <w:rFonts w:ascii="宋体" w:eastAsia="宋体" w:hAnsi="宋体" w:cs="宋体" w:hint="eastAsia"/>
          <w:iCs/>
        </w:rPr>
        <w:t>在大分子中，有一组化合物应特别注意，因为它们不同于其他治疗性蛋白质，即</w:t>
      </w:r>
      <w:r w:rsidRPr="0074743A">
        <w:rPr>
          <w:iCs/>
        </w:rPr>
        <w:t>ADC</w:t>
      </w:r>
      <w:r w:rsidRPr="0074743A">
        <w:rPr>
          <w:rFonts w:ascii="宋体" w:eastAsia="宋体" w:hAnsi="宋体" w:cs="宋体" w:hint="eastAsia"/>
          <w:iCs/>
        </w:rPr>
        <w:t>。在此，几个小分子附着在大分子上，目的是大分子将小分子有针对性地传递到它们的作用位置。这些小分子通常是非常具有攻击性的抗癌药（</w:t>
      </w:r>
      <w:r w:rsidRPr="0074743A">
        <w:rPr>
          <w:iCs/>
        </w:rPr>
        <w:t>“</w:t>
      </w:r>
      <w:r w:rsidRPr="0074743A">
        <w:rPr>
          <w:rFonts w:ascii="宋体" w:eastAsia="宋体" w:hAnsi="宋体" w:cs="宋体" w:hint="eastAsia"/>
          <w:iCs/>
        </w:rPr>
        <w:t>毒素</w:t>
      </w:r>
      <w:r w:rsidRPr="0074743A">
        <w:rPr>
          <w:iCs/>
        </w:rPr>
        <w:t>”</w:t>
      </w:r>
      <w:r w:rsidRPr="0074743A">
        <w:rPr>
          <w:rFonts w:ascii="宋体" w:eastAsia="宋体" w:hAnsi="宋体" w:cs="宋体" w:hint="eastAsia"/>
          <w:iCs/>
        </w:rPr>
        <w:t>，</w:t>
      </w:r>
      <w:r w:rsidRPr="0074743A">
        <w:rPr>
          <w:iCs/>
        </w:rPr>
        <w:t>“</w:t>
      </w:r>
      <w:r w:rsidRPr="0074743A">
        <w:rPr>
          <w:rFonts w:ascii="宋体" w:eastAsia="宋体" w:hAnsi="宋体" w:cs="宋体" w:hint="eastAsia"/>
          <w:iCs/>
        </w:rPr>
        <w:t>弹头</w:t>
      </w:r>
      <w:r w:rsidRPr="0074743A">
        <w:rPr>
          <w:iCs/>
        </w:rPr>
        <w:t>”</w:t>
      </w:r>
      <w:r w:rsidRPr="0074743A">
        <w:rPr>
          <w:rFonts w:ascii="宋体" w:eastAsia="宋体" w:hAnsi="宋体" w:cs="宋体" w:hint="eastAsia"/>
          <w:iCs/>
        </w:rPr>
        <w:t>和</w:t>
      </w:r>
      <w:r w:rsidRPr="0074743A">
        <w:rPr>
          <w:iCs/>
        </w:rPr>
        <w:t>“</w:t>
      </w:r>
      <w:r w:rsidRPr="0074743A">
        <w:rPr>
          <w:rFonts w:ascii="宋体" w:eastAsia="宋体" w:hAnsi="宋体" w:cs="宋体" w:hint="eastAsia"/>
          <w:iCs/>
        </w:rPr>
        <w:t>有效载荷</w:t>
      </w:r>
      <w:r w:rsidRPr="0074743A">
        <w:rPr>
          <w:iCs/>
        </w:rPr>
        <w:t>”</w:t>
      </w:r>
      <w:r w:rsidRPr="0074743A">
        <w:rPr>
          <w:rFonts w:ascii="宋体" w:eastAsia="宋体" w:hAnsi="宋体" w:cs="宋体" w:hint="eastAsia"/>
          <w:iCs/>
        </w:rPr>
        <w:t>），但作为</w:t>
      </w:r>
      <w:r w:rsidRPr="0074743A">
        <w:rPr>
          <w:iCs/>
        </w:rPr>
        <w:t>ADC</w:t>
      </w:r>
      <w:r w:rsidRPr="0074743A">
        <w:rPr>
          <w:rFonts w:ascii="宋体" w:eastAsia="宋体" w:hAnsi="宋体" w:cs="宋体" w:hint="eastAsia"/>
          <w:iCs/>
        </w:rPr>
        <w:t>的组成部分，其他各种毒性要低得多的小分子也正在研发中：抗生素，螯合剂，等等。因此，有必要进行区分，最好说</w:t>
      </w:r>
      <w:r w:rsidRPr="0074743A">
        <w:rPr>
          <w:iCs/>
        </w:rPr>
        <w:t>“</w:t>
      </w:r>
      <w:r w:rsidRPr="0074743A">
        <w:rPr>
          <w:rFonts w:ascii="宋体" w:eastAsia="宋体" w:hAnsi="宋体" w:cs="宋体" w:hint="eastAsia"/>
          <w:iCs/>
        </w:rPr>
        <w:t>抗体</w:t>
      </w:r>
      <w:r w:rsidRPr="0074743A">
        <w:rPr>
          <w:iCs/>
        </w:rPr>
        <w:t>-</w:t>
      </w:r>
      <w:r w:rsidRPr="0074743A">
        <w:rPr>
          <w:rFonts w:ascii="宋体" w:eastAsia="宋体" w:hAnsi="宋体" w:cs="宋体" w:hint="eastAsia"/>
          <w:iCs/>
        </w:rPr>
        <w:t>抗肿瘤缀合物</w:t>
      </w:r>
      <w:r w:rsidRPr="0074743A">
        <w:rPr>
          <w:iCs/>
        </w:rPr>
        <w:t>”</w:t>
      </w:r>
      <w:r w:rsidRPr="0074743A">
        <w:rPr>
          <w:rFonts w:ascii="宋体" w:eastAsia="宋体" w:hAnsi="宋体" w:cs="宋体" w:hint="eastAsia"/>
          <w:iCs/>
        </w:rPr>
        <w:t>，</w:t>
      </w:r>
      <w:r w:rsidRPr="0074743A">
        <w:rPr>
          <w:iCs/>
        </w:rPr>
        <w:t>“</w:t>
      </w:r>
      <w:r w:rsidRPr="0074743A">
        <w:rPr>
          <w:rFonts w:ascii="宋体" w:eastAsia="宋体" w:hAnsi="宋体" w:cs="宋体" w:hint="eastAsia"/>
          <w:iCs/>
        </w:rPr>
        <w:t>抗体</w:t>
      </w:r>
      <w:r w:rsidRPr="0074743A">
        <w:rPr>
          <w:iCs/>
        </w:rPr>
        <w:t>-</w:t>
      </w:r>
      <w:r w:rsidRPr="0074743A">
        <w:rPr>
          <w:rFonts w:ascii="宋体" w:eastAsia="宋体" w:hAnsi="宋体" w:cs="宋体" w:hint="eastAsia"/>
          <w:iCs/>
        </w:rPr>
        <w:t>抗生素缀合物</w:t>
      </w:r>
      <w:r w:rsidRPr="0074743A">
        <w:rPr>
          <w:iCs/>
        </w:rPr>
        <w:t>”</w:t>
      </w:r>
      <w:r w:rsidRPr="0074743A">
        <w:rPr>
          <w:rFonts w:ascii="宋体" w:eastAsia="宋体" w:hAnsi="宋体" w:cs="宋体" w:hint="eastAsia"/>
          <w:iCs/>
        </w:rPr>
        <w:t>等，而不是</w:t>
      </w:r>
      <w:r w:rsidRPr="0074743A">
        <w:rPr>
          <w:iCs/>
        </w:rPr>
        <w:t>“</w:t>
      </w:r>
      <w:r w:rsidRPr="0074743A">
        <w:rPr>
          <w:rFonts w:ascii="宋体" w:eastAsia="宋体" w:hAnsi="宋体" w:cs="宋体" w:hint="eastAsia"/>
          <w:iCs/>
        </w:rPr>
        <w:t>抗体</w:t>
      </w:r>
      <w:r w:rsidRPr="0074743A">
        <w:rPr>
          <w:iCs/>
        </w:rPr>
        <w:t>-</w:t>
      </w:r>
      <w:r w:rsidRPr="0074743A">
        <w:rPr>
          <w:rFonts w:ascii="宋体" w:eastAsia="宋体" w:hAnsi="宋体" w:cs="宋体" w:hint="eastAsia"/>
          <w:iCs/>
        </w:rPr>
        <w:t>药物缀合物</w:t>
      </w:r>
      <w:r w:rsidRPr="0074743A">
        <w:rPr>
          <w:iCs/>
        </w:rPr>
        <w:t>”</w:t>
      </w:r>
      <w:r w:rsidRPr="0074743A">
        <w:rPr>
          <w:rFonts w:ascii="宋体" w:eastAsia="宋体" w:hAnsi="宋体" w:cs="宋体" w:hint="eastAsia"/>
          <w:iCs/>
        </w:rPr>
        <w:t>，术语</w:t>
      </w:r>
      <w:r w:rsidRPr="0074743A">
        <w:rPr>
          <w:iCs/>
        </w:rPr>
        <w:t>“</w:t>
      </w:r>
      <w:r w:rsidRPr="0074743A">
        <w:rPr>
          <w:rFonts w:ascii="宋体" w:eastAsia="宋体" w:hAnsi="宋体" w:cs="宋体" w:hint="eastAsia"/>
          <w:iCs/>
        </w:rPr>
        <w:t>药物</w:t>
      </w:r>
      <w:r w:rsidRPr="0074743A">
        <w:rPr>
          <w:iCs/>
        </w:rPr>
        <w:t>”</w:t>
      </w:r>
      <w:r w:rsidRPr="0074743A">
        <w:rPr>
          <w:rFonts w:ascii="宋体" w:eastAsia="宋体" w:hAnsi="宋体" w:cs="宋体" w:hint="eastAsia"/>
          <w:iCs/>
        </w:rPr>
        <w:t>过于宽泛。</w:t>
      </w:r>
    </w:p>
    <w:p w14:paraId="0241A8CA" w14:textId="77777777" w:rsidR="00BF0BE8" w:rsidRPr="0074743A" w:rsidRDefault="00BF0BE8" w:rsidP="00BF0BE8">
      <w:pPr>
        <w:spacing w:after="48" w:line="248" w:lineRule="auto"/>
        <w:ind w:firstLine="190"/>
        <w:rPr>
          <w:iCs/>
        </w:rPr>
      </w:pPr>
      <w:r w:rsidRPr="0074743A">
        <w:rPr>
          <w:iCs/>
        </w:rPr>
        <w:t>10.5.3</w:t>
      </w:r>
      <w:r w:rsidRPr="0074743A">
        <w:rPr>
          <w:rFonts w:ascii="宋体" w:eastAsia="宋体" w:hAnsi="宋体" w:cs="宋体" w:hint="eastAsia"/>
          <w:iCs/>
        </w:rPr>
        <w:t>具有抗肿瘤有效载荷的</w:t>
      </w:r>
      <w:r w:rsidRPr="0074743A">
        <w:rPr>
          <w:iCs/>
        </w:rPr>
        <w:t>ADC</w:t>
      </w:r>
      <w:r w:rsidRPr="0074743A">
        <w:rPr>
          <w:rFonts w:ascii="宋体" w:eastAsia="宋体" w:hAnsi="宋体" w:cs="宋体" w:hint="eastAsia"/>
          <w:iCs/>
        </w:rPr>
        <w:t>的毒性取决于这些毒素的毒性以及每个</w:t>
      </w:r>
      <w:r w:rsidRPr="0074743A">
        <w:rPr>
          <w:iCs/>
        </w:rPr>
        <w:t>ADC</w:t>
      </w:r>
      <w:r w:rsidRPr="0074743A">
        <w:rPr>
          <w:rFonts w:ascii="宋体" w:eastAsia="宋体" w:hAnsi="宋体" w:cs="宋体" w:hint="eastAsia"/>
          <w:iCs/>
        </w:rPr>
        <w:t>的毒素分子数量。来自</w:t>
      </w:r>
      <w:r w:rsidRPr="0074743A">
        <w:rPr>
          <w:iCs/>
        </w:rPr>
        <w:t>ADC</w:t>
      </w:r>
      <w:r w:rsidRPr="0074743A">
        <w:rPr>
          <w:rFonts w:ascii="宋体" w:eastAsia="宋体" w:hAnsi="宋体" w:cs="宋体" w:hint="eastAsia"/>
          <w:iCs/>
        </w:rPr>
        <w:t>管理的临床前和临床数据将是设置</w:t>
      </w:r>
      <w:r w:rsidRPr="0074743A">
        <w:rPr>
          <w:iCs/>
        </w:rPr>
        <w:t>HBEL</w:t>
      </w:r>
      <w:r w:rsidRPr="0074743A">
        <w:rPr>
          <w:rFonts w:ascii="宋体" w:eastAsia="宋体" w:hAnsi="宋体" w:cs="宋体" w:hint="eastAsia"/>
          <w:iCs/>
        </w:rPr>
        <w:t>的主要驱动力。在实践中，作为合理性检查，有效载荷的分子量与</w:t>
      </w:r>
      <w:r w:rsidRPr="0074743A">
        <w:rPr>
          <w:iCs/>
        </w:rPr>
        <w:t>ADC</w:t>
      </w:r>
      <w:r w:rsidRPr="0074743A">
        <w:rPr>
          <w:rFonts w:ascii="宋体" w:eastAsia="宋体" w:hAnsi="宋体" w:cs="宋体" w:hint="eastAsia"/>
          <w:iCs/>
        </w:rPr>
        <w:t>的总分子量以及毒素的</w:t>
      </w:r>
      <w:r w:rsidRPr="0074743A">
        <w:rPr>
          <w:iCs/>
        </w:rPr>
        <w:t>HBEL</w:t>
      </w:r>
      <w:r w:rsidRPr="0074743A">
        <w:rPr>
          <w:rFonts w:ascii="宋体" w:eastAsia="宋体" w:hAnsi="宋体" w:cs="宋体" w:hint="eastAsia"/>
          <w:iCs/>
        </w:rPr>
        <w:t>给出了</w:t>
      </w:r>
      <w:r w:rsidRPr="0074743A">
        <w:rPr>
          <w:iCs/>
        </w:rPr>
        <w:t>ADC</w:t>
      </w:r>
      <w:r w:rsidRPr="0074743A">
        <w:rPr>
          <w:rFonts w:ascii="宋体" w:eastAsia="宋体" w:hAnsi="宋体" w:cs="宋体" w:hint="eastAsia"/>
          <w:iCs/>
        </w:rPr>
        <w:t>的</w:t>
      </w:r>
      <w:r w:rsidRPr="0074743A">
        <w:rPr>
          <w:iCs/>
        </w:rPr>
        <w:t>HBEL</w:t>
      </w:r>
      <w:r w:rsidRPr="0074743A">
        <w:rPr>
          <w:rFonts w:ascii="宋体" w:eastAsia="宋体" w:hAnsi="宋体" w:cs="宋体" w:hint="eastAsia"/>
          <w:iCs/>
        </w:rPr>
        <w:t>的近似值。例如，如果毒素的</w:t>
      </w:r>
      <w:r w:rsidRPr="0074743A">
        <w:rPr>
          <w:iCs/>
        </w:rPr>
        <w:t>HBEL</w:t>
      </w:r>
      <w:r w:rsidRPr="0074743A">
        <w:rPr>
          <w:rFonts w:ascii="宋体" w:eastAsia="宋体" w:hAnsi="宋体" w:cs="宋体" w:hint="eastAsia"/>
          <w:iCs/>
        </w:rPr>
        <w:t>为</w:t>
      </w:r>
      <w:r w:rsidRPr="0074743A">
        <w:rPr>
          <w:iCs/>
        </w:rPr>
        <w:t>50 ng /</w:t>
      </w:r>
      <w:r w:rsidRPr="0074743A">
        <w:rPr>
          <w:rFonts w:ascii="宋体" w:eastAsia="宋体" w:hAnsi="宋体" w:cs="宋体" w:hint="eastAsia"/>
          <w:iCs/>
        </w:rPr>
        <w:t>天，而</w:t>
      </w:r>
      <w:r w:rsidRPr="0074743A">
        <w:rPr>
          <w:iCs/>
        </w:rPr>
        <w:t>ADC</w:t>
      </w:r>
      <w:r w:rsidRPr="0074743A">
        <w:rPr>
          <w:rFonts w:ascii="宋体" w:eastAsia="宋体" w:hAnsi="宋体" w:cs="宋体" w:hint="eastAsia"/>
          <w:iCs/>
        </w:rPr>
        <w:t>的总分子量的</w:t>
      </w:r>
      <w:r w:rsidRPr="0074743A">
        <w:rPr>
          <w:iCs/>
        </w:rPr>
        <w:t>10</w:t>
      </w:r>
      <w:r w:rsidRPr="0074743A">
        <w:rPr>
          <w:rFonts w:ascii="宋体" w:eastAsia="宋体" w:hAnsi="宋体" w:cs="宋体" w:hint="eastAsia"/>
          <w:iCs/>
        </w:rPr>
        <w:t>％由毒素分子组成，则</w:t>
      </w:r>
      <w:r w:rsidRPr="0074743A">
        <w:rPr>
          <w:iCs/>
        </w:rPr>
        <w:t>ADC</w:t>
      </w:r>
      <w:r w:rsidRPr="0074743A">
        <w:rPr>
          <w:rFonts w:ascii="宋体" w:eastAsia="宋体" w:hAnsi="宋体" w:cs="宋体" w:hint="eastAsia"/>
          <w:iCs/>
        </w:rPr>
        <w:t>的</w:t>
      </w:r>
      <w:r w:rsidRPr="0074743A">
        <w:rPr>
          <w:iCs/>
        </w:rPr>
        <w:t>HBEL</w:t>
      </w:r>
      <w:r w:rsidRPr="0074743A">
        <w:rPr>
          <w:rFonts w:ascii="宋体" w:eastAsia="宋体" w:hAnsi="宋体" w:cs="宋体" w:hint="eastAsia"/>
          <w:iCs/>
        </w:rPr>
        <w:t>约为</w:t>
      </w:r>
      <w:r w:rsidRPr="0074743A">
        <w:rPr>
          <w:iCs/>
        </w:rPr>
        <w:t>500 ng /</w:t>
      </w:r>
      <w:r w:rsidRPr="0074743A">
        <w:rPr>
          <w:rFonts w:ascii="宋体" w:eastAsia="宋体" w:hAnsi="宋体" w:cs="宋体" w:hint="eastAsia"/>
          <w:iCs/>
        </w:rPr>
        <w:t>天。</w:t>
      </w:r>
    </w:p>
    <w:p w14:paraId="2BF506EE" w14:textId="77777777" w:rsidR="00BF0BE8" w:rsidRPr="0074743A" w:rsidRDefault="00BF0BE8" w:rsidP="00BF0BE8">
      <w:pPr>
        <w:spacing w:after="48" w:line="248" w:lineRule="auto"/>
        <w:ind w:firstLine="190"/>
        <w:rPr>
          <w:iCs/>
        </w:rPr>
      </w:pPr>
      <w:r w:rsidRPr="0074743A">
        <w:rPr>
          <w:iCs/>
        </w:rPr>
        <w:t>10.5.4</w:t>
      </w:r>
      <w:r w:rsidRPr="0074743A">
        <w:rPr>
          <w:rFonts w:ascii="宋体" w:eastAsia="宋体" w:hAnsi="宋体" w:cs="宋体" w:hint="eastAsia"/>
          <w:iCs/>
        </w:rPr>
        <w:t>通常，具有抗肿瘤有效载荷的</w:t>
      </w:r>
      <w:r w:rsidRPr="0074743A">
        <w:rPr>
          <w:iCs/>
        </w:rPr>
        <w:t>ADC</w:t>
      </w:r>
      <w:r w:rsidRPr="0074743A">
        <w:rPr>
          <w:rFonts w:ascii="宋体" w:eastAsia="宋体" w:hAnsi="宋体" w:cs="宋体" w:hint="eastAsia"/>
          <w:iCs/>
        </w:rPr>
        <w:t>的不同暴露途径（即口服，吸入）的</w:t>
      </w:r>
      <w:r w:rsidRPr="0074743A">
        <w:rPr>
          <w:iCs/>
        </w:rPr>
        <w:t>HBEL</w:t>
      </w:r>
      <w:r w:rsidRPr="0074743A">
        <w:rPr>
          <w:rFonts w:ascii="宋体" w:eastAsia="宋体" w:hAnsi="宋体" w:cs="宋体" w:hint="eastAsia"/>
          <w:iCs/>
        </w:rPr>
        <w:t>相同。这是因为即使</w:t>
      </w:r>
      <w:r w:rsidRPr="0074743A">
        <w:rPr>
          <w:iCs/>
        </w:rPr>
        <w:t>ADC</w:t>
      </w:r>
      <w:r w:rsidRPr="0074743A">
        <w:rPr>
          <w:rFonts w:ascii="宋体" w:eastAsia="宋体" w:hAnsi="宋体" w:cs="宋体" w:hint="eastAsia"/>
          <w:iCs/>
        </w:rPr>
        <w:t>的大分子部分被分解代谢，或者毒素</w:t>
      </w:r>
      <w:r w:rsidRPr="0074743A">
        <w:rPr>
          <w:iCs/>
        </w:rPr>
        <w:t>/</w:t>
      </w:r>
      <w:r w:rsidRPr="0074743A">
        <w:rPr>
          <w:rFonts w:ascii="宋体" w:eastAsia="宋体" w:hAnsi="宋体" w:cs="宋体" w:hint="eastAsia"/>
          <w:iCs/>
        </w:rPr>
        <w:t>毒物分子局部作用于</w:t>
      </w:r>
      <w:r w:rsidRPr="0074743A">
        <w:rPr>
          <w:iCs/>
        </w:rPr>
        <w:t>ADC</w:t>
      </w:r>
      <w:r w:rsidRPr="0074743A">
        <w:rPr>
          <w:rFonts w:ascii="宋体" w:eastAsia="宋体" w:hAnsi="宋体" w:cs="宋体" w:hint="eastAsia"/>
          <w:iCs/>
        </w:rPr>
        <w:t>沉积的地方，毒素</w:t>
      </w:r>
      <w:r w:rsidRPr="0074743A">
        <w:rPr>
          <w:iCs/>
        </w:rPr>
        <w:t>/</w:t>
      </w:r>
      <w:r w:rsidRPr="0074743A">
        <w:rPr>
          <w:rFonts w:ascii="宋体" w:eastAsia="宋体" w:hAnsi="宋体" w:cs="宋体" w:hint="eastAsia"/>
          <w:iCs/>
        </w:rPr>
        <w:t>毒物的战斗部分子也会被吸收。因此，此处用于蛋白质治疗的典型生物利用度假设（口服为</w:t>
      </w:r>
      <w:r w:rsidRPr="0074743A">
        <w:rPr>
          <w:iCs/>
        </w:rPr>
        <w:t>0</w:t>
      </w:r>
      <w:r w:rsidRPr="0074743A">
        <w:rPr>
          <w:rFonts w:ascii="宋体" w:eastAsia="宋体" w:hAnsi="宋体" w:cs="宋体" w:hint="eastAsia"/>
          <w:iCs/>
        </w:rPr>
        <w:t>％，吸入途径为</w:t>
      </w:r>
      <w:r w:rsidRPr="0074743A">
        <w:rPr>
          <w:iCs/>
        </w:rPr>
        <w:t>&lt;5</w:t>
      </w:r>
      <w:r w:rsidRPr="0074743A">
        <w:rPr>
          <w:rFonts w:ascii="宋体" w:eastAsia="宋体" w:hAnsi="宋体" w:cs="宋体" w:hint="eastAsia"/>
          <w:iCs/>
        </w:rPr>
        <w:t>％）不相关。</w:t>
      </w:r>
    </w:p>
    <w:p w14:paraId="72179F1E" w14:textId="77777777" w:rsidR="00BF0BE8" w:rsidRPr="0074743A" w:rsidRDefault="00BF0BE8" w:rsidP="00BF0BE8">
      <w:pPr>
        <w:spacing w:after="48" w:line="248" w:lineRule="auto"/>
        <w:ind w:firstLine="190"/>
        <w:rPr>
          <w:iCs/>
        </w:rPr>
      </w:pPr>
      <w:r w:rsidRPr="0074743A">
        <w:rPr>
          <w:iCs/>
        </w:rPr>
        <w:t>10.6</w:t>
      </w:r>
      <w:r w:rsidRPr="0074743A">
        <w:rPr>
          <w:rFonts w:ascii="宋体" w:eastAsia="宋体" w:hAnsi="宋体" w:cs="宋体" w:hint="eastAsia"/>
          <w:iCs/>
        </w:rPr>
        <w:t>非人类目标：抗寄生虫药，抗病毒药和抗生素</w:t>
      </w:r>
      <w:r w:rsidRPr="0074743A">
        <w:rPr>
          <w:iCs/>
        </w:rPr>
        <w:t>-</w:t>
      </w:r>
      <w:r w:rsidRPr="0074743A">
        <w:rPr>
          <w:rFonts w:ascii="宋体" w:eastAsia="宋体" w:hAnsi="宋体" w:cs="宋体" w:hint="eastAsia"/>
          <w:iCs/>
        </w:rPr>
        <w:t>为具有非人类目标的化合物（例如，抗寄生虫药和抗病毒药）建立</w:t>
      </w:r>
      <w:r w:rsidRPr="0074743A">
        <w:rPr>
          <w:iCs/>
        </w:rPr>
        <w:t>HBEL</w:t>
      </w:r>
      <w:r w:rsidRPr="0074743A">
        <w:rPr>
          <w:rFonts w:ascii="宋体" w:eastAsia="宋体" w:hAnsi="宋体" w:cs="宋体" w:hint="eastAsia"/>
          <w:iCs/>
        </w:rPr>
        <w:t>时，关键作用通常是毒性而不是药理学。在这种情况下，应评估关键效应以确保其对所评估人群的适用性，并应考虑敏感的亚群（例如孕妇）。但是，从毒理学的角度（例如，</w:t>
      </w:r>
      <w:r w:rsidRPr="0074743A">
        <w:rPr>
          <w:iCs/>
        </w:rPr>
        <w:t>β-</w:t>
      </w:r>
      <w:r w:rsidRPr="0074743A">
        <w:rPr>
          <w:rFonts w:ascii="宋体" w:eastAsia="宋体" w:hAnsi="宋体" w:cs="宋体" w:hint="eastAsia"/>
          <w:iCs/>
        </w:rPr>
        <w:t>内酰胺类抗生素的过敏反应以及氯霉素类抗生素的致癌反应）以及正常胃肠道菌群的破坏和抗菌素耐药性的增强，一些抗感染</w:t>
      </w:r>
      <w:proofErr w:type="gramStart"/>
      <w:r w:rsidRPr="0074743A">
        <w:rPr>
          <w:rFonts w:ascii="宋体" w:eastAsia="宋体" w:hAnsi="宋体" w:cs="宋体" w:hint="eastAsia"/>
          <w:iCs/>
        </w:rPr>
        <w:t>剂可能</w:t>
      </w:r>
      <w:proofErr w:type="gramEnd"/>
      <w:r w:rsidRPr="0074743A">
        <w:rPr>
          <w:rFonts w:ascii="宋体" w:eastAsia="宋体" w:hAnsi="宋体" w:cs="宋体" w:hint="eastAsia"/>
          <w:iCs/>
        </w:rPr>
        <w:t>构成挑战。在这种情况下，应得出两种关键影响的</w:t>
      </w:r>
      <w:r w:rsidRPr="0074743A">
        <w:rPr>
          <w:iCs/>
        </w:rPr>
        <w:t>HBEL</w:t>
      </w:r>
      <w:r w:rsidRPr="0074743A">
        <w:rPr>
          <w:rFonts w:ascii="宋体" w:eastAsia="宋体" w:hAnsi="宋体" w:cs="宋体" w:hint="eastAsia"/>
          <w:iCs/>
        </w:rPr>
        <w:t>，并选择最低的</w:t>
      </w:r>
      <w:r w:rsidRPr="0074743A">
        <w:rPr>
          <w:iCs/>
        </w:rPr>
        <w:t>HBEL</w:t>
      </w:r>
      <w:r w:rsidRPr="0074743A">
        <w:rPr>
          <w:rFonts w:ascii="宋体" w:eastAsia="宋体" w:hAnsi="宋体" w:cs="宋体" w:hint="eastAsia"/>
          <w:iCs/>
        </w:rPr>
        <w:t>。</w:t>
      </w:r>
    </w:p>
    <w:p w14:paraId="0F403DC2" w14:textId="77777777" w:rsidR="00BF0BE8" w:rsidRPr="0074743A" w:rsidRDefault="00BF0BE8" w:rsidP="00BF0BE8">
      <w:pPr>
        <w:spacing w:after="48" w:line="248" w:lineRule="auto"/>
        <w:ind w:firstLine="190"/>
        <w:rPr>
          <w:iCs/>
        </w:rPr>
      </w:pPr>
      <w:r w:rsidRPr="0074743A">
        <w:rPr>
          <w:iCs/>
        </w:rPr>
        <w:t>10.7</w:t>
      </w:r>
      <w:r w:rsidRPr="0074743A">
        <w:rPr>
          <w:rFonts w:ascii="宋体" w:eastAsia="宋体" w:hAnsi="宋体" w:cs="宋体" w:hint="eastAsia"/>
          <w:iCs/>
        </w:rPr>
        <w:t>疫苗，溶瘤病毒和基因治疗：</w:t>
      </w:r>
    </w:p>
    <w:p w14:paraId="1B8056B5" w14:textId="2E8DF8B2" w:rsidR="0026097E" w:rsidRPr="0074743A" w:rsidRDefault="00BF0BE8" w:rsidP="00BF0BE8">
      <w:pPr>
        <w:spacing w:after="48" w:line="248" w:lineRule="auto"/>
        <w:ind w:firstLine="190"/>
        <w:rPr>
          <w:iCs/>
        </w:rPr>
      </w:pPr>
      <w:r w:rsidRPr="0074743A">
        <w:rPr>
          <w:iCs/>
        </w:rPr>
        <w:t>10.7.1 HBEL</w:t>
      </w:r>
      <w:r w:rsidRPr="0074743A">
        <w:rPr>
          <w:rFonts w:ascii="宋体" w:eastAsia="宋体" w:hAnsi="宋体" w:cs="宋体" w:hint="eastAsia"/>
          <w:iCs/>
        </w:rPr>
        <w:t>的计算指南可能不适用于某些治疗方法。转基因生物，活疫苗和</w:t>
      </w:r>
      <w:proofErr w:type="gramStart"/>
      <w:r w:rsidRPr="0074743A">
        <w:rPr>
          <w:rFonts w:ascii="宋体" w:eastAsia="宋体" w:hAnsi="宋体" w:cs="宋体" w:hint="eastAsia"/>
          <w:iCs/>
        </w:rPr>
        <w:t>溶瘤</w:t>
      </w:r>
      <w:proofErr w:type="gramEnd"/>
      <w:r w:rsidRPr="0074743A">
        <w:rPr>
          <w:rFonts w:ascii="宋体" w:eastAsia="宋体" w:hAnsi="宋体" w:cs="宋体" w:hint="eastAsia"/>
          <w:iCs/>
        </w:rPr>
        <w:t>病毒都带来了本指南中未涉及的问题。如果存在生物安全危害并指定了生物安全水平（</w:t>
      </w:r>
      <w:r w:rsidRPr="0074743A">
        <w:rPr>
          <w:iCs/>
        </w:rPr>
        <w:t>BSL</w:t>
      </w:r>
      <w:r w:rsidRPr="0074743A">
        <w:rPr>
          <w:rFonts w:ascii="宋体" w:eastAsia="宋体" w:hAnsi="宋体" w:cs="宋体" w:hint="eastAsia"/>
          <w:iCs/>
        </w:rPr>
        <w:t>），则应参考适用的法规和生产指导文件。</w:t>
      </w:r>
      <w:r w:rsidRPr="0074743A">
        <w:rPr>
          <w:iCs/>
        </w:rPr>
        <w:t xml:space="preserve"> HBEL</w:t>
      </w:r>
      <w:r w:rsidRPr="0074743A">
        <w:rPr>
          <w:rFonts w:ascii="宋体" w:eastAsia="宋体" w:hAnsi="宋体" w:cs="宋体" w:hint="eastAsia"/>
          <w:iCs/>
        </w:rPr>
        <w:t>可能是科学得出的，但目前尚无标准化方法。如果无法得出</w:t>
      </w:r>
      <w:r w:rsidRPr="0074743A">
        <w:rPr>
          <w:iCs/>
        </w:rPr>
        <w:t>HBEL</w:t>
      </w:r>
      <w:r w:rsidRPr="0074743A">
        <w:rPr>
          <w:rFonts w:ascii="宋体" w:eastAsia="宋体" w:hAnsi="宋体" w:cs="宋体" w:hint="eastAsia"/>
          <w:iCs/>
        </w:rPr>
        <w:t>，则建议进行危害（及后续风险）评估。例如，以下是一些注意事项</w:t>
      </w:r>
      <w:r w:rsidR="00284695" w:rsidRPr="0074743A">
        <w:rPr>
          <w:iCs/>
        </w:rPr>
        <w:t>:</w:t>
      </w:r>
    </w:p>
    <w:p w14:paraId="435BF6DE" w14:textId="77777777" w:rsidR="00BF0BE8" w:rsidRPr="0074743A" w:rsidRDefault="00284695" w:rsidP="00BF0BE8">
      <w:pPr>
        <w:ind w:left="-15"/>
        <w:rPr>
          <w:iCs/>
        </w:rPr>
      </w:pPr>
      <w:r w:rsidRPr="0074743A">
        <w:rPr>
          <w:iCs/>
        </w:rPr>
        <w:t xml:space="preserve">10.7.1.1 </w:t>
      </w:r>
      <w:r w:rsidR="00BF0BE8" w:rsidRPr="0074743A">
        <w:rPr>
          <w:rFonts w:ascii="宋体" w:eastAsia="宋体" w:hAnsi="宋体" w:cs="宋体" w:hint="eastAsia"/>
          <w:iCs/>
        </w:rPr>
        <w:t>载体</w:t>
      </w:r>
      <w:r w:rsidR="00BF0BE8" w:rsidRPr="0074743A">
        <w:rPr>
          <w:iCs/>
        </w:rPr>
        <w:t>/</w:t>
      </w:r>
      <w:r w:rsidR="00BF0BE8" w:rsidRPr="0074743A">
        <w:rPr>
          <w:rFonts w:ascii="宋体" w:eastAsia="宋体" w:hAnsi="宋体" w:cs="宋体" w:hint="eastAsia"/>
          <w:iCs/>
        </w:rPr>
        <w:t>细胞对生存和复制是否有严格的营养要求，因此在环境中不可行并被降解？</w:t>
      </w:r>
    </w:p>
    <w:p w14:paraId="3A1A7B4A" w14:textId="77777777" w:rsidR="00BF0BE8" w:rsidRPr="0074743A" w:rsidRDefault="00BF0BE8" w:rsidP="00BF0BE8">
      <w:pPr>
        <w:ind w:left="-15"/>
        <w:rPr>
          <w:iCs/>
        </w:rPr>
      </w:pPr>
      <w:r w:rsidRPr="0074743A">
        <w:rPr>
          <w:iCs/>
        </w:rPr>
        <w:t>10.7.1.2</w:t>
      </w:r>
      <w:r w:rsidRPr="0074743A">
        <w:rPr>
          <w:rFonts w:ascii="宋体" w:eastAsia="宋体" w:hAnsi="宋体" w:cs="宋体" w:hint="eastAsia"/>
          <w:iCs/>
        </w:rPr>
        <w:t>载体</w:t>
      </w:r>
      <w:r w:rsidRPr="0074743A">
        <w:rPr>
          <w:iCs/>
        </w:rPr>
        <w:t>/</w:t>
      </w:r>
      <w:r w:rsidRPr="0074743A">
        <w:rPr>
          <w:rFonts w:ascii="宋体" w:eastAsia="宋体" w:hAnsi="宋体" w:cs="宋体" w:hint="eastAsia"/>
          <w:iCs/>
        </w:rPr>
        <w:t>细胞是否经过特定的制造步骤以消除其复制能力？</w:t>
      </w:r>
    </w:p>
    <w:p w14:paraId="24F89B27" w14:textId="77777777" w:rsidR="00BF0BE8" w:rsidRPr="0074743A" w:rsidRDefault="00BF0BE8" w:rsidP="00BF0BE8">
      <w:pPr>
        <w:ind w:left="-15"/>
        <w:rPr>
          <w:iCs/>
        </w:rPr>
      </w:pPr>
      <w:r w:rsidRPr="0074743A">
        <w:rPr>
          <w:iCs/>
        </w:rPr>
        <w:t>10.7.1.3</w:t>
      </w:r>
      <w:r w:rsidRPr="0074743A">
        <w:rPr>
          <w:rFonts w:ascii="宋体" w:eastAsia="宋体" w:hAnsi="宋体" w:cs="宋体" w:hint="eastAsia"/>
          <w:iCs/>
        </w:rPr>
        <w:t>遗传变化的程度（即仅点突变或缺失或插入）如何？</w:t>
      </w:r>
    </w:p>
    <w:p w14:paraId="7064F5C4" w14:textId="77777777" w:rsidR="00BF0BE8" w:rsidRPr="0074743A" w:rsidRDefault="00BF0BE8" w:rsidP="00BF0BE8">
      <w:pPr>
        <w:ind w:left="-15"/>
        <w:rPr>
          <w:iCs/>
        </w:rPr>
      </w:pPr>
      <w:r w:rsidRPr="0074743A">
        <w:rPr>
          <w:iCs/>
        </w:rPr>
        <w:t>10.7.1.4</w:t>
      </w:r>
      <w:r w:rsidRPr="0074743A">
        <w:rPr>
          <w:rFonts w:ascii="宋体" w:eastAsia="宋体" w:hAnsi="宋体" w:cs="宋体" w:hint="eastAsia"/>
          <w:iCs/>
        </w:rPr>
        <w:t>是否在一个属中来自一个或多个物种的功能性蛋白质编码序列？</w:t>
      </w:r>
    </w:p>
    <w:p w14:paraId="6C354ECB" w14:textId="77777777" w:rsidR="00BF0BE8" w:rsidRPr="0074743A" w:rsidRDefault="00BF0BE8" w:rsidP="00BF0BE8">
      <w:pPr>
        <w:ind w:left="-15"/>
        <w:rPr>
          <w:iCs/>
        </w:rPr>
      </w:pPr>
      <w:r w:rsidRPr="0074743A">
        <w:rPr>
          <w:iCs/>
        </w:rPr>
        <w:t>10.7.1.5</w:t>
      </w:r>
      <w:r w:rsidRPr="0074743A">
        <w:rPr>
          <w:rFonts w:ascii="宋体" w:eastAsia="宋体" w:hAnsi="宋体" w:cs="宋体" w:hint="eastAsia"/>
          <w:iCs/>
        </w:rPr>
        <w:t>是否需要佐剂或辅助病毒才能产生作用？</w:t>
      </w:r>
    </w:p>
    <w:p w14:paraId="541CC5D8" w14:textId="77777777" w:rsidR="00BF0BE8" w:rsidRPr="0074743A" w:rsidRDefault="00BF0BE8" w:rsidP="00BF0BE8">
      <w:pPr>
        <w:ind w:left="-15"/>
        <w:rPr>
          <w:iCs/>
        </w:rPr>
      </w:pPr>
      <w:r w:rsidRPr="0074743A">
        <w:rPr>
          <w:iCs/>
        </w:rPr>
        <w:t>10.7.1.6</w:t>
      </w:r>
      <w:r w:rsidRPr="0074743A">
        <w:rPr>
          <w:rFonts w:ascii="宋体" w:eastAsia="宋体" w:hAnsi="宋体" w:cs="宋体" w:hint="eastAsia"/>
          <w:iCs/>
        </w:rPr>
        <w:t>载体可以转导非分裂的细胞和组织吗？</w:t>
      </w:r>
    </w:p>
    <w:p w14:paraId="6EDED24C" w14:textId="77777777" w:rsidR="00BF0BE8" w:rsidRPr="0074743A" w:rsidRDefault="00BF0BE8" w:rsidP="00BF0BE8">
      <w:pPr>
        <w:ind w:left="-15"/>
        <w:rPr>
          <w:iCs/>
        </w:rPr>
      </w:pPr>
      <w:r w:rsidRPr="0074743A">
        <w:rPr>
          <w:iCs/>
        </w:rPr>
        <w:t>10.7.1.7</w:t>
      </w:r>
      <w:r w:rsidRPr="0074743A">
        <w:rPr>
          <w:rFonts w:ascii="宋体" w:eastAsia="宋体" w:hAnsi="宋体" w:cs="宋体" w:hint="eastAsia"/>
          <w:iCs/>
        </w:rPr>
        <w:t>非目标宿主或组织会增加毒力因子吗？</w:t>
      </w:r>
    </w:p>
    <w:p w14:paraId="75369DD9" w14:textId="77777777" w:rsidR="00BF0BE8" w:rsidRPr="0074743A" w:rsidRDefault="00BF0BE8" w:rsidP="00BF0BE8">
      <w:pPr>
        <w:ind w:left="-15"/>
        <w:rPr>
          <w:iCs/>
        </w:rPr>
      </w:pPr>
      <w:r w:rsidRPr="0074743A">
        <w:rPr>
          <w:iCs/>
        </w:rPr>
        <w:t>10.7.1.8</w:t>
      </w:r>
      <w:r w:rsidRPr="0074743A">
        <w:rPr>
          <w:rFonts w:ascii="宋体" w:eastAsia="宋体" w:hAnsi="宋体" w:cs="宋体" w:hint="eastAsia"/>
          <w:iCs/>
        </w:rPr>
        <w:t>对于识别出的每个不利影响，都需要用定性的术语来描述可能性，范围从高，中，低到可忽略不计。</w:t>
      </w:r>
    </w:p>
    <w:p w14:paraId="4B5291EE" w14:textId="77777777" w:rsidR="00BF0BE8" w:rsidRPr="0074743A" w:rsidRDefault="00BF0BE8" w:rsidP="00BF0BE8">
      <w:pPr>
        <w:ind w:left="-15"/>
        <w:rPr>
          <w:iCs/>
        </w:rPr>
      </w:pPr>
      <w:r w:rsidRPr="0074743A">
        <w:rPr>
          <w:iCs/>
        </w:rPr>
        <w:t>10.7.2</w:t>
      </w:r>
      <w:r w:rsidRPr="0074743A">
        <w:rPr>
          <w:rFonts w:ascii="宋体" w:eastAsia="宋体" w:hAnsi="宋体" w:cs="宋体" w:hint="eastAsia"/>
          <w:iCs/>
        </w:rPr>
        <w:t>如果担心是否可以适当减轻危害和风险，则应在专用设备上制造化合物。</w:t>
      </w:r>
    </w:p>
    <w:p w14:paraId="39B53A4B" w14:textId="77777777" w:rsidR="00BF0BE8" w:rsidRPr="0074743A" w:rsidRDefault="00BF0BE8" w:rsidP="00BF0BE8">
      <w:pPr>
        <w:ind w:left="-15"/>
        <w:rPr>
          <w:iCs/>
        </w:rPr>
      </w:pPr>
      <w:r w:rsidRPr="0074743A">
        <w:rPr>
          <w:iCs/>
        </w:rPr>
        <w:t>10.8</w:t>
      </w:r>
      <w:r w:rsidRPr="0074743A">
        <w:rPr>
          <w:rFonts w:ascii="宋体" w:eastAsia="宋体" w:hAnsi="宋体" w:cs="宋体" w:hint="eastAsia"/>
          <w:iCs/>
        </w:rPr>
        <w:t>非处方药（</w:t>
      </w:r>
      <w:r w:rsidRPr="0074743A">
        <w:rPr>
          <w:iCs/>
        </w:rPr>
        <w:t>OTC</w:t>
      </w:r>
      <w:r w:rsidRPr="0074743A">
        <w:rPr>
          <w:rFonts w:ascii="宋体" w:eastAsia="宋体" w:hAnsi="宋体" w:cs="宋体" w:hint="eastAsia"/>
          <w:iCs/>
        </w:rPr>
        <w:t>）</w:t>
      </w:r>
      <w:r w:rsidRPr="0074743A">
        <w:rPr>
          <w:iCs/>
        </w:rPr>
        <w:t>–</w:t>
      </w:r>
      <w:r w:rsidRPr="0074743A">
        <w:rPr>
          <w:rFonts w:ascii="宋体" w:eastAsia="宋体" w:hAnsi="宋体" w:cs="宋体" w:hint="eastAsia"/>
          <w:iCs/>
        </w:rPr>
        <w:t>重要的是要注意，尽管包括</w:t>
      </w:r>
      <w:r w:rsidRPr="0074743A">
        <w:rPr>
          <w:iCs/>
        </w:rPr>
        <w:t>OTC</w:t>
      </w:r>
      <w:r w:rsidRPr="0074743A">
        <w:rPr>
          <w:rFonts w:ascii="宋体" w:eastAsia="宋体" w:hAnsi="宋体" w:cs="宋体" w:hint="eastAsia"/>
          <w:iCs/>
        </w:rPr>
        <w:t>药物在内的多种药物广泛使用，但都没有健康风险（</w:t>
      </w:r>
      <w:r w:rsidRPr="0074743A">
        <w:rPr>
          <w:iCs/>
        </w:rPr>
        <w:t>127</w:t>
      </w:r>
      <w:r w:rsidRPr="0074743A">
        <w:rPr>
          <w:rFonts w:ascii="宋体" w:eastAsia="宋体" w:hAnsi="宋体" w:cs="宋体" w:hint="eastAsia"/>
          <w:iCs/>
        </w:rPr>
        <w:t>，</w:t>
      </w:r>
      <w:r w:rsidRPr="0074743A">
        <w:rPr>
          <w:iCs/>
        </w:rPr>
        <w:t>128</w:t>
      </w:r>
      <w:r w:rsidRPr="0074743A">
        <w:rPr>
          <w:rFonts w:ascii="宋体" w:eastAsia="宋体" w:hAnsi="宋体" w:cs="宋体" w:hint="eastAsia"/>
          <w:iCs/>
        </w:rPr>
        <w:t>）。此外，每种</w:t>
      </w:r>
      <w:r w:rsidRPr="0074743A">
        <w:rPr>
          <w:iCs/>
        </w:rPr>
        <w:t>OTC</w:t>
      </w:r>
      <w:r w:rsidRPr="0074743A">
        <w:rPr>
          <w:rFonts w:ascii="宋体" w:eastAsia="宋体" w:hAnsi="宋体" w:cs="宋体" w:hint="eastAsia"/>
          <w:iCs/>
        </w:rPr>
        <w:t>药物都有一个药物</w:t>
      </w:r>
      <w:proofErr w:type="gramStart"/>
      <w:r w:rsidRPr="0074743A">
        <w:rPr>
          <w:rFonts w:ascii="宋体" w:eastAsia="宋体" w:hAnsi="宋体" w:cs="宋体" w:hint="eastAsia"/>
          <w:iCs/>
        </w:rPr>
        <w:t>专着</w:t>
      </w:r>
      <w:proofErr w:type="gramEnd"/>
      <w:r w:rsidRPr="0074743A">
        <w:rPr>
          <w:rFonts w:ascii="宋体" w:eastAsia="宋体" w:hAnsi="宋体" w:cs="宋体" w:hint="eastAsia"/>
          <w:iCs/>
        </w:rPr>
        <w:t>，讨论如何安全地服用药物。如果不遵循药物专论，例如在不希望的持续时间内或不建议治疗的人群中通过不同的给药途径进行暴露，则会对健康造成不利影响。因此，在为非处方药推导</w:t>
      </w:r>
      <w:r w:rsidRPr="0074743A">
        <w:rPr>
          <w:iCs/>
        </w:rPr>
        <w:t>HBEL</w:t>
      </w:r>
      <w:r w:rsidRPr="0074743A">
        <w:rPr>
          <w:rFonts w:ascii="宋体" w:eastAsia="宋体" w:hAnsi="宋体" w:cs="宋体" w:hint="eastAsia"/>
          <w:iCs/>
        </w:rPr>
        <w:t>时，重要的是不要假设由于其被广泛消费，因此没有交叉污染的风险。</w:t>
      </w:r>
      <w:r w:rsidRPr="0074743A">
        <w:rPr>
          <w:iCs/>
        </w:rPr>
        <w:t xml:space="preserve"> OTC</w:t>
      </w:r>
      <w:r w:rsidRPr="0074743A">
        <w:rPr>
          <w:rFonts w:ascii="宋体" w:eastAsia="宋体" w:hAnsi="宋体" w:cs="宋体" w:hint="eastAsia"/>
          <w:iCs/>
        </w:rPr>
        <w:t>药物也应由合格的专家按照本指南中所述的相同方法进行审查。报告的数据可能有限制，但是对于较旧的处方仿制药也是如此。在这些情况下，应对药物专论和文献进行审查，以寻找适应症，治疗剂量，推荐的给药途径，常规或非常规使用产生的任何毒性，敏感人群以及非临床数据。应当记录信息的缺乏和信息的缺乏的相关性。在许多情况下，治疗剂量可以是</w:t>
      </w:r>
      <w:proofErr w:type="spellStart"/>
      <w:r w:rsidRPr="0074743A">
        <w:rPr>
          <w:iCs/>
        </w:rPr>
        <w:t>PoD</w:t>
      </w:r>
      <w:proofErr w:type="spellEnd"/>
      <w:r w:rsidRPr="0074743A">
        <w:rPr>
          <w:rFonts w:ascii="宋体" w:eastAsia="宋体" w:hAnsi="宋体" w:cs="宋体" w:hint="eastAsia"/>
          <w:iCs/>
        </w:rPr>
        <w:t>，并且可以根据效果类型和暴露时间来应用如前所述的</w:t>
      </w:r>
      <w:r w:rsidRPr="0074743A">
        <w:rPr>
          <w:iCs/>
        </w:rPr>
        <w:t>AF</w:t>
      </w:r>
      <w:r w:rsidRPr="0074743A">
        <w:rPr>
          <w:rFonts w:ascii="宋体" w:eastAsia="宋体" w:hAnsi="宋体" w:cs="宋体" w:hint="eastAsia"/>
          <w:iCs/>
        </w:rPr>
        <w:t>。如果合格的专家检查数据并考虑上述注意事项，则他们可以考虑采用简化的方法从治疗剂量中得出</w:t>
      </w:r>
      <w:r w:rsidRPr="0074743A">
        <w:rPr>
          <w:iCs/>
        </w:rPr>
        <w:t>HBEL</w:t>
      </w:r>
      <w:r w:rsidRPr="0074743A">
        <w:rPr>
          <w:rFonts w:ascii="宋体" w:eastAsia="宋体" w:hAnsi="宋体" w:cs="宋体" w:hint="eastAsia"/>
          <w:iCs/>
        </w:rPr>
        <w:t>。有关</w:t>
      </w:r>
      <w:r w:rsidRPr="0074743A">
        <w:rPr>
          <w:iCs/>
        </w:rPr>
        <w:t>OTC HBEL</w:t>
      </w:r>
      <w:r w:rsidRPr="0074743A">
        <w:rPr>
          <w:rFonts w:ascii="宋体" w:eastAsia="宋体" w:hAnsi="宋体" w:cs="宋体" w:hint="eastAsia"/>
          <w:iCs/>
        </w:rPr>
        <w:t>计算的示例，请参见附录</w:t>
      </w:r>
      <w:r w:rsidRPr="0074743A">
        <w:rPr>
          <w:iCs/>
        </w:rPr>
        <w:t>X2</w:t>
      </w:r>
      <w:r w:rsidRPr="0074743A">
        <w:rPr>
          <w:rFonts w:ascii="宋体" w:eastAsia="宋体" w:hAnsi="宋体" w:cs="宋体" w:hint="eastAsia"/>
          <w:iCs/>
        </w:rPr>
        <w:t>。</w:t>
      </w:r>
    </w:p>
    <w:p w14:paraId="788A191F" w14:textId="77777777" w:rsidR="00BF0BE8" w:rsidRPr="0074743A" w:rsidRDefault="00BF0BE8" w:rsidP="00BF0BE8">
      <w:pPr>
        <w:ind w:left="-15"/>
        <w:rPr>
          <w:iCs/>
        </w:rPr>
      </w:pPr>
      <w:r w:rsidRPr="0074743A">
        <w:rPr>
          <w:iCs/>
        </w:rPr>
        <w:t>11.</w:t>
      </w:r>
      <w:r w:rsidRPr="0074743A">
        <w:rPr>
          <w:rFonts w:ascii="宋体" w:eastAsia="宋体" w:hAnsi="宋体" w:cs="宋体" w:hint="eastAsia"/>
          <w:iCs/>
        </w:rPr>
        <w:t>起始材料（</w:t>
      </w:r>
      <w:r w:rsidRPr="0074743A">
        <w:rPr>
          <w:iCs/>
        </w:rPr>
        <w:t>SM</w:t>
      </w:r>
      <w:r w:rsidRPr="0074743A">
        <w:rPr>
          <w:rFonts w:ascii="宋体" w:eastAsia="宋体" w:hAnsi="宋体" w:cs="宋体" w:hint="eastAsia"/>
          <w:iCs/>
        </w:rPr>
        <w:t>）和中间体（</w:t>
      </w:r>
      <w:r w:rsidRPr="0074743A">
        <w:rPr>
          <w:iCs/>
        </w:rPr>
        <w:t>IM</w:t>
      </w:r>
      <w:r w:rsidRPr="0074743A">
        <w:rPr>
          <w:rFonts w:ascii="宋体" w:eastAsia="宋体" w:hAnsi="宋体" w:cs="宋体" w:hint="eastAsia"/>
          <w:iCs/>
        </w:rPr>
        <w:t>）</w:t>
      </w:r>
    </w:p>
    <w:p w14:paraId="64F2BE35" w14:textId="77777777" w:rsidR="00BF0BE8" w:rsidRPr="0074743A" w:rsidRDefault="00BF0BE8" w:rsidP="00BF0BE8">
      <w:pPr>
        <w:ind w:left="-15"/>
        <w:rPr>
          <w:iCs/>
        </w:rPr>
      </w:pPr>
      <w:r w:rsidRPr="0074743A">
        <w:rPr>
          <w:iCs/>
        </w:rPr>
        <w:t>11.1 SM</w:t>
      </w:r>
      <w:r w:rsidRPr="0074743A">
        <w:rPr>
          <w:rFonts w:ascii="宋体" w:eastAsia="宋体" w:hAnsi="宋体" w:cs="宋体" w:hint="eastAsia"/>
          <w:iCs/>
        </w:rPr>
        <w:t>和</w:t>
      </w:r>
      <w:r w:rsidRPr="0074743A">
        <w:rPr>
          <w:iCs/>
        </w:rPr>
        <w:t>IM</w:t>
      </w:r>
      <w:r w:rsidRPr="0074743A">
        <w:rPr>
          <w:rFonts w:ascii="宋体" w:eastAsia="宋体" w:hAnsi="宋体" w:cs="宋体" w:hint="eastAsia"/>
          <w:iCs/>
        </w:rPr>
        <w:t>用于药品生产。因此，如果在一件制造设备上使用</w:t>
      </w:r>
      <w:r w:rsidRPr="0074743A">
        <w:rPr>
          <w:iCs/>
        </w:rPr>
        <w:t>SM</w:t>
      </w:r>
      <w:r w:rsidRPr="0074743A">
        <w:rPr>
          <w:rFonts w:ascii="宋体" w:eastAsia="宋体" w:hAnsi="宋体" w:cs="宋体" w:hint="eastAsia"/>
          <w:iCs/>
        </w:rPr>
        <w:t>或</w:t>
      </w:r>
      <w:r w:rsidRPr="0074743A">
        <w:rPr>
          <w:iCs/>
        </w:rPr>
        <w:t>IM</w:t>
      </w:r>
      <w:r w:rsidRPr="0074743A">
        <w:rPr>
          <w:rFonts w:ascii="宋体" w:eastAsia="宋体" w:hAnsi="宋体" w:cs="宋体" w:hint="eastAsia"/>
          <w:iCs/>
        </w:rPr>
        <w:t>，则有可能与其他潜在产品交叉污染，并最终可能成为</w:t>
      </w:r>
      <w:r w:rsidRPr="0074743A">
        <w:rPr>
          <w:iCs/>
        </w:rPr>
        <w:t>API</w:t>
      </w:r>
      <w:r w:rsidRPr="0074743A">
        <w:rPr>
          <w:rFonts w:ascii="宋体" w:eastAsia="宋体" w:hAnsi="宋体" w:cs="宋体" w:hint="eastAsia"/>
          <w:iCs/>
        </w:rPr>
        <w:t>中的残留物，尤其是当</w:t>
      </w:r>
      <w:r w:rsidRPr="0074743A">
        <w:rPr>
          <w:iCs/>
        </w:rPr>
        <w:t>SM</w:t>
      </w:r>
      <w:r w:rsidRPr="0074743A">
        <w:rPr>
          <w:rFonts w:ascii="宋体" w:eastAsia="宋体" w:hAnsi="宋体" w:cs="宋体" w:hint="eastAsia"/>
          <w:iCs/>
        </w:rPr>
        <w:t>或</w:t>
      </w:r>
      <w:r w:rsidRPr="0074743A">
        <w:rPr>
          <w:iCs/>
        </w:rPr>
        <w:t>IM</w:t>
      </w:r>
      <w:r w:rsidRPr="0074743A">
        <w:rPr>
          <w:rFonts w:ascii="宋体" w:eastAsia="宋体" w:hAnsi="宋体" w:cs="宋体" w:hint="eastAsia"/>
          <w:iCs/>
        </w:rPr>
        <w:t>与</w:t>
      </w:r>
      <w:r w:rsidRPr="0074743A">
        <w:rPr>
          <w:iCs/>
        </w:rPr>
        <w:t>API</w:t>
      </w:r>
      <w:r w:rsidRPr="0074743A">
        <w:rPr>
          <w:rFonts w:ascii="宋体" w:eastAsia="宋体" w:hAnsi="宋体" w:cs="宋体" w:hint="eastAsia"/>
          <w:iCs/>
        </w:rPr>
        <w:t>共享设备时。</w:t>
      </w:r>
    </w:p>
    <w:p w14:paraId="18385D68" w14:textId="4F77F283" w:rsidR="0026097E" w:rsidRPr="0074743A" w:rsidRDefault="00BF0BE8" w:rsidP="00BF0BE8">
      <w:pPr>
        <w:ind w:left="-15"/>
        <w:rPr>
          <w:iCs/>
        </w:rPr>
      </w:pPr>
      <w:r w:rsidRPr="0074743A">
        <w:rPr>
          <w:iCs/>
        </w:rPr>
        <w:t>11.2 SM</w:t>
      </w:r>
      <w:r w:rsidRPr="0074743A">
        <w:rPr>
          <w:rFonts w:ascii="宋体" w:eastAsia="宋体" w:hAnsi="宋体" w:cs="宋体" w:hint="eastAsia"/>
          <w:iCs/>
        </w:rPr>
        <w:t>和</w:t>
      </w:r>
      <w:r w:rsidRPr="0074743A">
        <w:rPr>
          <w:iCs/>
        </w:rPr>
        <w:t>IM</w:t>
      </w:r>
      <w:r w:rsidRPr="0074743A">
        <w:rPr>
          <w:rFonts w:ascii="宋体" w:eastAsia="宋体" w:hAnsi="宋体" w:cs="宋体" w:hint="eastAsia"/>
          <w:iCs/>
        </w:rPr>
        <w:t>通常具有有限的毒性数据，因此</w:t>
      </w:r>
      <w:r w:rsidRPr="0074743A">
        <w:rPr>
          <w:iCs/>
        </w:rPr>
        <w:t>TTC</w:t>
      </w:r>
      <w:r w:rsidRPr="0074743A">
        <w:rPr>
          <w:rFonts w:ascii="宋体" w:eastAsia="宋体" w:hAnsi="宋体" w:cs="宋体" w:hint="eastAsia"/>
          <w:iCs/>
        </w:rPr>
        <w:t>适合其</w:t>
      </w:r>
      <w:r w:rsidRPr="0074743A">
        <w:rPr>
          <w:iCs/>
        </w:rPr>
        <w:t>HBEL</w:t>
      </w:r>
      <w:r w:rsidRPr="0074743A">
        <w:rPr>
          <w:rFonts w:ascii="宋体" w:eastAsia="宋体" w:hAnsi="宋体" w:cs="宋体" w:hint="eastAsia"/>
          <w:iCs/>
        </w:rPr>
        <w:t>。对于从毒理学或药理学角度来看较少关注的</w:t>
      </w:r>
      <w:r w:rsidRPr="0074743A">
        <w:rPr>
          <w:iCs/>
        </w:rPr>
        <w:t>SM</w:t>
      </w:r>
      <w:r w:rsidRPr="0074743A">
        <w:rPr>
          <w:rFonts w:ascii="宋体" w:eastAsia="宋体" w:hAnsi="宋体" w:cs="宋体" w:hint="eastAsia"/>
          <w:iCs/>
        </w:rPr>
        <w:t>和</w:t>
      </w:r>
      <w:r w:rsidRPr="0074743A">
        <w:rPr>
          <w:iCs/>
        </w:rPr>
        <w:t>IM</w:t>
      </w:r>
      <w:r w:rsidRPr="0074743A">
        <w:rPr>
          <w:rFonts w:ascii="宋体" w:eastAsia="宋体" w:hAnsi="宋体" w:cs="宋体" w:hint="eastAsia"/>
          <w:iCs/>
        </w:rPr>
        <w:t>，</w:t>
      </w:r>
      <w:r w:rsidRPr="0074743A">
        <w:rPr>
          <w:iCs/>
        </w:rPr>
        <w:t>HBEL</w:t>
      </w:r>
      <w:r w:rsidRPr="0074743A">
        <w:rPr>
          <w:rFonts w:ascii="宋体" w:eastAsia="宋体" w:hAnsi="宋体" w:cs="宋体" w:hint="eastAsia"/>
          <w:iCs/>
        </w:rPr>
        <w:t>可以保守地设置为</w:t>
      </w:r>
      <w:r w:rsidRPr="0074743A">
        <w:rPr>
          <w:iCs/>
        </w:rPr>
        <w:t>100 µg /</w:t>
      </w:r>
      <w:r w:rsidRPr="0074743A">
        <w:rPr>
          <w:rFonts w:ascii="宋体" w:eastAsia="宋体" w:hAnsi="宋体" w:cs="宋体" w:hint="eastAsia"/>
          <w:iCs/>
        </w:rPr>
        <w:t>天。如果</w:t>
      </w:r>
      <w:r w:rsidRPr="0074743A">
        <w:rPr>
          <w:iCs/>
        </w:rPr>
        <w:t>SM</w:t>
      </w:r>
      <w:r w:rsidRPr="0074743A">
        <w:rPr>
          <w:rFonts w:ascii="宋体" w:eastAsia="宋体" w:hAnsi="宋体" w:cs="宋体" w:hint="eastAsia"/>
          <w:iCs/>
        </w:rPr>
        <w:t>和</w:t>
      </w:r>
      <w:r w:rsidRPr="0074743A">
        <w:rPr>
          <w:iCs/>
        </w:rPr>
        <w:t>IM</w:t>
      </w:r>
      <w:r w:rsidRPr="0074743A">
        <w:rPr>
          <w:rFonts w:ascii="宋体" w:eastAsia="宋体" w:hAnsi="宋体" w:cs="宋体" w:hint="eastAsia"/>
          <w:iCs/>
        </w:rPr>
        <w:t>的药理学与制造的</w:t>
      </w:r>
      <w:r w:rsidRPr="0074743A">
        <w:rPr>
          <w:iCs/>
        </w:rPr>
        <w:t>API</w:t>
      </w:r>
      <w:r w:rsidRPr="0074743A">
        <w:rPr>
          <w:rFonts w:ascii="宋体" w:eastAsia="宋体" w:hAnsi="宋体" w:cs="宋体" w:hint="eastAsia"/>
          <w:iCs/>
        </w:rPr>
        <w:t>相似，则可以将</w:t>
      </w:r>
      <w:r w:rsidRPr="0074743A">
        <w:rPr>
          <w:iCs/>
        </w:rPr>
        <w:t>HBEL</w:t>
      </w:r>
      <w:r w:rsidRPr="0074743A">
        <w:rPr>
          <w:rFonts w:ascii="宋体" w:eastAsia="宋体" w:hAnsi="宋体" w:cs="宋体" w:hint="eastAsia"/>
          <w:iCs/>
        </w:rPr>
        <w:t>设置为</w:t>
      </w:r>
      <w:r w:rsidRPr="0074743A">
        <w:rPr>
          <w:iCs/>
        </w:rPr>
        <w:t>API</w:t>
      </w:r>
      <w:r w:rsidRPr="0074743A">
        <w:rPr>
          <w:rFonts w:ascii="宋体" w:eastAsia="宋体" w:hAnsi="宋体" w:cs="宋体" w:hint="eastAsia"/>
          <w:iCs/>
        </w:rPr>
        <w:t>的</w:t>
      </w:r>
      <w:r w:rsidRPr="0074743A">
        <w:rPr>
          <w:iCs/>
        </w:rPr>
        <w:t>HBEL</w:t>
      </w:r>
      <w:r w:rsidRPr="0074743A">
        <w:rPr>
          <w:rFonts w:ascii="宋体" w:eastAsia="宋体" w:hAnsi="宋体" w:cs="宋体" w:hint="eastAsia"/>
          <w:iCs/>
        </w:rPr>
        <w:t>或分数（取决于药理学数据）。最后，对于具有毒性（如致突变性）的化合物，应使用适当的</w:t>
      </w:r>
      <w:r w:rsidRPr="0074743A">
        <w:rPr>
          <w:iCs/>
        </w:rPr>
        <w:t>TTC</w:t>
      </w:r>
      <w:r w:rsidRPr="0074743A">
        <w:rPr>
          <w:rFonts w:ascii="宋体" w:eastAsia="宋体" w:hAnsi="宋体" w:cs="宋体" w:hint="eastAsia"/>
          <w:iCs/>
        </w:rPr>
        <w:t>（例如，对于终身使用的致突变性化合物为</w:t>
      </w:r>
      <w:r w:rsidRPr="0074743A">
        <w:rPr>
          <w:iCs/>
        </w:rPr>
        <w:t>1.5 µg /</w:t>
      </w:r>
      <w:r w:rsidRPr="0074743A">
        <w:rPr>
          <w:rFonts w:ascii="宋体" w:eastAsia="宋体" w:hAnsi="宋体" w:cs="宋体" w:hint="eastAsia"/>
          <w:iCs/>
        </w:rPr>
        <w:t>天，对于强效</w:t>
      </w:r>
      <w:r w:rsidRPr="0074743A">
        <w:rPr>
          <w:iCs/>
        </w:rPr>
        <w:t>/</w:t>
      </w:r>
      <w:r w:rsidRPr="0074743A">
        <w:rPr>
          <w:rFonts w:ascii="宋体" w:eastAsia="宋体" w:hAnsi="宋体" w:cs="宋体" w:hint="eastAsia"/>
          <w:iCs/>
        </w:rPr>
        <w:t>毒性化合物为</w:t>
      </w:r>
      <w:r w:rsidRPr="0074743A">
        <w:rPr>
          <w:iCs/>
        </w:rPr>
        <w:t>10 µg /</w:t>
      </w:r>
      <w:r w:rsidRPr="0074743A">
        <w:rPr>
          <w:rFonts w:ascii="宋体" w:eastAsia="宋体" w:hAnsi="宋体" w:cs="宋体" w:hint="eastAsia"/>
          <w:iCs/>
        </w:rPr>
        <w:t>天）</w:t>
      </w:r>
      <w:r w:rsidR="00284695" w:rsidRPr="0074743A">
        <w:rPr>
          <w:iCs/>
        </w:rPr>
        <w:t>.</w:t>
      </w:r>
    </w:p>
    <w:p w14:paraId="230A50BE" w14:textId="77777777" w:rsidR="00BF0BE8" w:rsidRPr="0074743A" w:rsidRDefault="00284695" w:rsidP="00BF0BE8">
      <w:pPr>
        <w:spacing w:after="20" w:line="248" w:lineRule="auto"/>
        <w:ind w:left="185" w:hanging="10"/>
        <w:rPr>
          <w:iCs/>
        </w:rPr>
      </w:pPr>
      <w:r w:rsidRPr="0074743A">
        <w:rPr>
          <w:iCs/>
        </w:rPr>
        <w:t xml:space="preserve">11.3 </w:t>
      </w:r>
      <w:r w:rsidR="00BF0BE8" w:rsidRPr="0074743A">
        <w:rPr>
          <w:rFonts w:ascii="宋体" w:eastAsia="宋体" w:hAnsi="宋体" w:cs="宋体" w:hint="eastAsia"/>
          <w:iCs/>
        </w:rPr>
        <w:t>其他化学品：</w:t>
      </w:r>
    </w:p>
    <w:p w14:paraId="5DC85347" w14:textId="77777777" w:rsidR="00BF0BE8" w:rsidRPr="0074743A" w:rsidRDefault="00BF0BE8" w:rsidP="00BF0BE8">
      <w:pPr>
        <w:spacing w:after="20" w:line="248" w:lineRule="auto"/>
        <w:ind w:left="185" w:hanging="10"/>
        <w:rPr>
          <w:iCs/>
        </w:rPr>
      </w:pPr>
      <w:r w:rsidRPr="0074743A">
        <w:rPr>
          <w:iCs/>
        </w:rPr>
        <w:t>11.3.1</w:t>
      </w:r>
      <w:r w:rsidRPr="0074743A">
        <w:rPr>
          <w:rFonts w:ascii="宋体" w:eastAsia="宋体" w:hAnsi="宋体" w:cs="宋体" w:hint="eastAsia"/>
          <w:iCs/>
        </w:rPr>
        <w:t>确定</w:t>
      </w:r>
      <w:r w:rsidRPr="0074743A">
        <w:rPr>
          <w:iCs/>
        </w:rPr>
        <w:t>HBEL</w:t>
      </w:r>
      <w:r w:rsidRPr="0074743A">
        <w:rPr>
          <w:rFonts w:ascii="宋体" w:eastAsia="宋体" w:hAnsi="宋体" w:cs="宋体" w:hint="eastAsia"/>
          <w:iCs/>
        </w:rPr>
        <w:t>确定清洁验证目标的危险不仅限于选择</w:t>
      </w:r>
      <w:r w:rsidRPr="0074743A">
        <w:rPr>
          <w:iCs/>
        </w:rPr>
        <w:t>API</w:t>
      </w:r>
      <w:r w:rsidRPr="0074743A">
        <w:rPr>
          <w:rFonts w:ascii="宋体" w:eastAsia="宋体" w:hAnsi="宋体" w:cs="宋体" w:hint="eastAsia"/>
          <w:iCs/>
        </w:rPr>
        <w:t>和清洁剂。与仅完成检查表或遵循先前清洁验证中执行的操作相比，危害识别应是更全面的练习。应考虑产品制造和清洁中涉及的所有化学物质，以免对患者造成危害。计算</w:t>
      </w:r>
      <w:r w:rsidRPr="0074743A">
        <w:rPr>
          <w:iCs/>
        </w:rPr>
        <w:t>HBEL</w:t>
      </w:r>
      <w:r w:rsidRPr="0074743A">
        <w:rPr>
          <w:rFonts w:ascii="宋体" w:eastAsia="宋体" w:hAnsi="宋体" w:cs="宋体" w:hint="eastAsia"/>
          <w:iCs/>
        </w:rPr>
        <w:t>时可能需要考虑使用清洁剂，赋形剂，可萃取物，可浸出物和其他用于</w:t>
      </w:r>
      <w:r w:rsidRPr="0074743A">
        <w:rPr>
          <w:iCs/>
        </w:rPr>
        <w:t>API</w:t>
      </w:r>
      <w:r w:rsidRPr="0074743A">
        <w:rPr>
          <w:rFonts w:ascii="宋体" w:eastAsia="宋体" w:hAnsi="宋体" w:cs="宋体" w:hint="eastAsia"/>
          <w:iCs/>
        </w:rPr>
        <w:t>加工的化学</w:t>
      </w:r>
      <w:r w:rsidRPr="0074743A">
        <w:rPr>
          <w:rFonts w:ascii="宋体" w:eastAsia="宋体" w:hAnsi="宋体" w:cs="宋体" w:hint="eastAsia"/>
          <w:iCs/>
        </w:rPr>
        <w:lastRenderedPageBreak/>
        <w:t>物质。例如，赋形剂是配制药物产品的无药理活性成分，但可能对其他药物产品构成危害（例如，新生儿接触苯甲醇）。应该采取步骤来筛选和识别可能对患者安全产生不利影响或影响产品质量的潜在化学危害，并确定应该为这些潜在化学危害中的哪些计算</w:t>
      </w:r>
      <w:r w:rsidRPr="0074743A">
        <w:rPr>
          <w:iCs/>
        </w:rPr>
        <w:t>HBEL</w:t>
      </w:r>
      <w:r w:rsidRPr="0074743A">
        <w:rPr>
          <w:rFonts w:ascii="宋体" w:eastAsia="宋体" w:hAnsi="宋体" w:cs="宋体" w:hint="eastAsia"/>
          <w:iCs/>
        </w:rPr>
        <w:t>。</w:t>
      </w:r>
    </w:p>
    <w:p w14:paraId="692FA4DB" w14:textId="77777777" w:rsidR="00BF0BE8" w:rsidRPr="0074743A" w:rsidRDefault="00BF0BE8" w:rsidP="00BF0BE8">
      <w:pPr>
        <w:spacing w:after="20" w:line="248" w:lineRule="auto"/>
        <w:ind w:left="185" w:hanging="10"/>
        <w:rPr>
          <w:iCs/>
        </w:rPr>
      </w:pPr>
      <w:r w:rsidRPr="0074743A">
        <w:rPr>
          <w:iCs/>
        </w:rPr>
        <w:t>11.3.2</w:t>
      </w:r>
      <w:r w:rsidRPr="0074743A">
        <w:rPr>
          <w:rFonts w:ascii="宋体" w:eastAsia="宋体" w:hAnsi="宋体" w:cs="宋体" w:hint="eastAsia"/>
          <w:iCs/>
        </w:rPr>
        <w:t>长期以来，监管部门一直期望在清洁验证工作中对清洁剂的残留物进行测试（</w:t>
      </w:r>
      <w:r w:rsidRPr="0074743A">
        <w:rPr>
          <w:iCs/>
        </w:rPr>
        <w:t>129</w:t>
      </w:r>
      <w:r w:rsidRPr="0074743A">
        <w:rPr>
          <w:rFonts w:ascii="宋体" w:eastAsia="宋体" w:hAnsi="宋体" w:cs="宋体" w:hint="eastAsia"/>
          <w:iCs/>
        </w:rPr>
        <w:t>）。为了满足此要求，需要此测试的接受标准。多年来，设置清洁剂可接受极限的方法一直基于</w:t>
      </w:r>
      <w:r w:rsidRPr="0074743A">
        <w:rPr>
          <w:iCs/>
        </w:rPr>
        <w:t>LD50</w:t>
      </w:r>
      <w:r w:rsidRPr="0074743A">
        <w:rPr>
          <w:rFonts w:ascii="宋体" w:eastAsia="宋体" w:hAnsi="宋体" w:cs="宋体" w:hint="eastAsia"/>
          <w:iCs/>
        </w:rPr>
        <w:t>的分数</w:t>
      </w:r>
    </w:p>
    <w:p w14:paraId="63D44C22" w14:textId="77777777" w:rsidR="00BF0BE8" w:rsidRPr="0074743A" w:rsidRDefault="00BF0BE8" w:rsidP="00BF0BE8">
      <w:pPr>
        <w:spacing w:after="20" w:line="248" w:lineRule="auto"/>
        <w:ind w:left="185" w:hanging="10"/>
        <w:rPr>
          <w:iCs/>
        </w:rPr>
      </w:pPr>
      <w:r w:rsidRPr="0074743A">
        <w:rPr>
          <w:rFonts w:ascii="宋体" w:eastAsia="宋体" w:hAnsi="宋体" w:cs="宋体" w:hint="eastAsia"/>
          <w:iCs/>
        </w:rPr>
        <w:t>（</w:t>
      </w:r>
      <w:r w:rsidRPr="0074743A">
        <w:rPr>
          <w:iCs/>
        </w:rPr>
        <w:t>1/100 000</w:t>
      </w:r>
      <w:r w:rsidRPr="0074743A">
        <w:rPr>
          <w:rFonts w:ascii="宋体" w:eastAsia="宋体" w:hAnsi="宋体" w:cs="宋体" w:hint="eastAsia"/>
          <w:iCs/>
        </w:rPr>
        <w:t>至</w:t>
      </w:r>
      <w:r w:rsidRPr="0074743A">
        <w:rPr>
          <w:iCs/>
        </w:rPr>
        <w:t>1/1</w:t>
      </w:r>
      <w:proofErr w:type="gramStart"/>
      <w:r w:rsidRPr="0074743A">
        <w:rPr>
          <w:iCs/>
        </w:rPr>
        <w:t xml:space="preserve"> 000 000</w:t>
      </w:r>
      <w:proofErr w:type="gramEnd"/>
      <w:r w:rsidRPr="0074743A">
        <w:rPr>
          <w:rFonts w:ascii="宋体" w:eastAsia="宋体" w:hAnsi="宋体" w:cs="宋体" w:hint="eastAsia"/>
          <w:iCs/>
        </w:rPr>
        <w:t>）。在许多情况下，这些方法产生的限值过低且无法实现，甚至导致清洗过程中使用的清洗剂停止使用。一种更合适的方法是计算这些化合物的</w:t>
      </w:r>
      <w:r w:rsidRPr="0074743A">
        <w:rPr>
          <w:iCs/>
        </w:rPr>
        <w:t>HBEL</w:t>
      </w:r>
      <w:r w:rsidRPr="0074743A">
        <w:rPr>
          <w:rFonts w:ascii="宋体" w:eastAsia="宋体" w:hAnsi="宋体" w:cs="宋体" w:hint="eastAsia"/>
          <w:iCs/>
        </w:rPr>
        <w:t>（</w:t>
      </w:r>
      <w:r w:rsidRPr="0074743A">
        <w:rPr>
          <w:iCs/>
        </w:rPr>
        <w:t>130</w:t>
      </w:r>
      <w:r w:rsidRPr="0074743A">
        <w:rPr>
          <w:rFonts w:ascii="宋体" w:eastAsia="宋体" w:hAnsi="宋体" w:cs="宋体" w:hint="eastAsia"/>
          <w:iCs/>
        </w:rPr>
        <w:t>）。</w:t>
      </w:r>
    </w:p>
    <w:p w14:paraId="6279A7BD" w14:textId="77777777" w:rsidR="00BF0BE8" w:rsidRPr="0074743A" w:rsidRDefault="00BF0BE8" w:rsidP="00BF0BE8">
      <w:pPr>
        <w:spacing w:after="20" w:line="248" w:lineRule="auto"/>
        <w:ind w:left="185" w:hanging="10"/>
        <w:rPr>
          <w:iCs/>
        </w:rPr>
      </w:pPr>
      <w:r w:rsidRPr="0074743A">
        <w:rPr>
          <w:iCs/>
        </w:rPr>
        <w:t>11.3.3</w:t>
      </w:r>
      <w:r w:rsidRPr="0074743A">
        <w:rPr>
          <w:rFonts w:ascii="宋体" w:eastAsia="宋体" w:hAnsi="宋体" w:cs="宋体" w:hint="eastAsia"/>
          <w:iCs/>
        </w:rPr>
        <w:t>清洁剂的研究不如药物广泛，因此确定</w:t>
      </w:r>
      <w:r w:rsidRPr="0074743A">
        <w:rPr>
          <w:iCs/>
        </w:rPr>
        <w:t>HBEL</w:t>
      </w:r>
      <w:r w:rsidRPr="0074743A">
        <w:rPr>
          <w:rFonts w:ascii="宋体" w:eastAsia="宋体" w:hAnsi="宋体" w:cs="宋体" w:hint="eastAsia"/>
          <w:iCs/>
        </w:rPr>
        <w:t>的数据少得多。一些清洁剂被认为是专有的，并且可能无法获得全部化学成分。但是，大多数清洁剂是化合物的混合物，许多成分已得到充分研究。尽管可以为这些组件确定</w:t>
      </w:r>
      <w:r w:rsidRPr="0074743A">
        <w:rPr>
          <w:iCs/>
        </w:rPr>
        <w:t>HBEL</w:t>
      </w:r>
      <w:r w:rsidRPr="0074743A">
        <w:rPr>
          <w:rFonts w:ascii="宋体" w:eastAsia="宋体" w:hAnsi="宋体" w:cs="宋体" w:hint="eastAsia"/>
          <w:iCs/>
        </w:rPr>
        <w:t>，但其中许多组件已经具有现有的安全评估和风险评估。在计算清洁剂成分的</w:t>
      </w:r>
      <w:r w:rsidRPr="0074743A">
        <w:rPr>
          <w:iCs/>
        </w:rPr>
        <w:t>HBEL</w:t>
      </w:r>
      <w:r w:rsidRPr="0074743A">
        <w:rPr>
          <w:rFonts w:ascii="宋体" w:eastAsia="宋体" w:hAnsi="宋体" w:cs="宋体" w:hint="eastAsia"/>
          <w:iCs/>
        </w:rPr>
        <w:t>之前，应确定此类安全评估和风险评估的可用性。对于清洁剂成分，人类和环境风险评估（</w:t>
      </w:r>
      <w:r w:rsidRPr="0074743A">
        <w:rPr>
          <w:iCs/>
        </w:rPr>
        <w:t>HERA</w:t>
      </w:r>
      <w:r w:rsidRPr="0074743A">
        <w:rPr>
          <w:rFonts w:ascii="宋体" w:eastAsia="宋体" w:hAnsi="宋体" w:cs="宋体" w:hint="eastAsia"/>
          <w:iCs/>
        </w:rPr>
        <w:t>）项目提供了此类风险评估的数据库，美国清洁协会（</w:t>
      </w:r>
      <w:r w:rsidRPr="0074743A">
        <w:rPr>
          <w:iCs/>
        </w:rPr>
        <w:t>American Cleaning Institute</w:t>
      </w:r>
      <w:r w:rsidRPr="0074743A">
        <w:rPr>
          <w:rFonts w:ascii="宋体" w:eastAsia="宋体" w:hAnsi="宋体" w:cs="宋体" w:hint="eastAsia"/>
          <w:iCs/>
        </w:rPr>
        <w:t>）在其网站上提供了清洁产品成分清单，可在其中找到有关清洁化合物的安全性数据。这些对于确定清洁剂是否构成任何重大风险以及是否应作为确定</w:t>
      </w:r>
      <w:r w:rsidRPr="0074743A">
        <w:rPr>
          <w:iCs/>
        </w:rPr>
        <w:t>HBEL</w:t>
      </w:r>
      <w:r w:rsidRPr="0074743A">
        <w:rPr>
          <w:rFonts w:ascii="宋体" w:eastAsia="宋体" w:hAnsi="宋体" w:cs="宋体" w:hint="eastAsia"/>
          <w:iCs/>
        </w:rPr>
        <w:t>的候选者非常有用。</w:t>
      </w:r>
    </w:p>
    <w:p w14:paraId="14B78D8A" w14:textId="7024F35F" w:rsidR="0026097E" w:rsidRPr="0074743A" w:rsidRDefault="00BF0BE8" w:rsidP="00BF0BE8">
      <w:pPr>
        <w:spacing w:after="20" w:line="248" w:lineRule="auto"/>
        <w:ind w:left="185" w:hanging="10"/>
        <w:rPr>
          <w:iCs/>
        </w:rPr>
      </w:pPr>
      <w:r w:rsidRPr="0074743A">
        <w:rPr>
          <w:iCs/>
        </w:rPr>
        <w:t>11.3.4</w:t>
      </w:r>
      <w:r w:rsidRPr="0074743A">
        <w:rPr>
          <w:rFonts w:ascii="宋体" w:eastAsia="宋体" w:hAnsi="宋体" w:cs="宋体" w:hint="eastAsia"/>
          <w:iCs/>
        </w:rPr>
        <w:t>在某些情况下，不属于化学合成的过程化学品可以在最终原料药之前在同</w:t>
      </w:r>
      <w:proofErr w:type="gramStart"/>
      <w:r w:rsidRPr="0074743A">
        <w:rPr>
          <w:rFonts w:ascii="宋体" w:eastAsia="宋体" w:hAnsi="宋体" w:cs="宋体" w:hint="eastAsia"/>
          <w:iCs/>
        </w:rPr>
        <w:t>一制造</w:t>
      </w:r>
      <w:proofErr w:type="gramEnd"/>
      <w:r w:rsidRPr="0074743A">
        <w:rPr>
          <w:rFonts w:ascii="宋体" w:eastAsia="宋体" w:hAnsi="宋体" w:cs="宋体" w:hint="eastAsia"/>
          <w:iCs/>
        </w:rPr>
        <w:t>设备上使用；在这种情况下，它们可能被认为是交叉污染的风险（例如，</w:t>
      </w:r>
      <w:r w:rsidRPr="0074743A">
        <w:rPr>
          <w:iCs/>
        </w:rPr>
        <w:t>API</w:t>
      </w:r>
      <w:r w:rsidRPr="0074743A">
        <w:rPr>
          <w:rFonts w:ascii="宋体" w:eastAsia="宋体" w:hAnsi="宋体" w:cs="宋体" w:hint="eastAsia"/>
          <w:iCs/>
        </w:rPr>
        <w:t>生产中的甲醇）。有足够的指南可解决化学合成</w:t>
      </w:r>
      <w:r w:rsidRPr="0074743A">
        <w:rPr>
          <w:iCs/>
        </w:rPr>
        <w:t>[ICH Q3A</w:t>
      </w:r>
      <w:r w:rsidRPr="0074743A">
        <w:rPr>
          <w:rFonts w:ascii="宋体" w:eastAsia="宋体" w:hAnsi="宋体" w:cs="宋体" w:hint="eastAsia"/>
          <w:iCs/>
        </w:rPr>
        <w:t>（</w:t>
      </w:r>
      <w:r w:rsidRPr="0074743A">
        <w:rPr>
          <w:iCs/>
        </w:rPr>
        <w:t>R2</w:t>
      </w:r>
      <w:r w:rsidRPr="0074743A">
        <w:rPr>
          <w:rFonts w:ascii="宋体" w:eastAsia="宋体" w:hAnsi="宋体" w:cs="宋体" w:hint="eastAsia"/>
          <w:iCs/>
        </w:rPr>
        <w:t>），</w:t>
      </w:r>
      <w:r w:rsidRPr="0074743A">
        <w:rPr>
          <w:iCs/>
        </w:rPr>
        <w:t>ICH Q3B</w:t>
      </w:r>
      <w:r w:rsidRPr="0074743A">
        <w:rPr>
          <w:rFonts w:ascii="宋体" w:eastAsia="宋体" w:hAnsi="宋体" w:cs="宋体" w:hint="eastAsia"/>
          <w:iCs/>
        </w:rPr>
        <w:t>（</w:t>
      </w:r>
      <w:r w:rsidRPr="0074743A">
        <w:rPr>
          <w:iCs/>
        </w:rPr>
        <w:t>R2</w:t>
      </w:r>
      <w:r w:rsidRPr="0074743A">
        <w:rPr>
          <w:rFonts w:ascii="宋体" w:eastAsia="宋体" w:hAnsi="宋体" w:cs="宋体" w:hint="eastAsia"/>
          <w:iCs/>
        </w:rPr>
        <w:t>），</w:t>
      </w:r>
      <w:r w:rsidRPr="0074743A">
        <w:rPr>
          <w:iCs/>
        </w:rPr>
        <w:t>ICH Q3C</w:t>
      </w:r>
      <w:r w:rsidRPr="0074743A">
        <w:rPr>
          <w:rFonts w:ascii="宋体" w:eastAsia="宋体" w:hAnsi="宋体" w:cs="宋体" w:hint="eastAsia"/>
          <w:iCs/>
        </w:rPr>
        <w:t>（</w:t>
      </w:r>
      <w:r w:rsidRPr="0074743A">
        <w:rPr>
          <w:iCs/>
        </w:rPr>
        <w:t>R6</w:t>
      </w:r>
      <w:r w:rsidRPr="0074743A">
        <w:rPr>
          <w:rFonts w:ascii="宋体" w:eastAsia="宋体" w:hAnsi="宋体" w:cs="宋体" w:hint="eastAsia"/>
          <w:iCs/>
        </w:rPr>
        <w:t>）和</w:t>
      </w:r>
      <w:r w:rsidRPr="0074743A">
        <w:rPr>
          <w:iCs/>
        </w:rPr>
        <w:t>ICH Q3D</w:t>
      </w:r>
      <w:r w:rsidRPr="0074743A">
        <w:rPr>
          <w:rFonts w:ascii="宋体" w:eastAsia="宋体" w:hAnsi="宋体" w:cs="宋体" w:hint="eastAsia"/>
          <w:iCs/>
        </w:rPr>
        <w:t>（</w:t>
      </w:r>
      <w:r w:rsidRPr="0074743A">
        <w:rPr>
          <w:iCs/>
        </w:rPr>
        <w:t>R1</w:t>
      </w:r>
      <w:r w:rsidRPr="0074743A">
        <w:rPr>
          <w:rFonts w:ascii="宋体" w:eastAsia="宋体" w:hAnsi="宋体" w:cs="宋体" w:hint="eastAsia"/>
          <w:iCs/>
        </w:rPr>
        <w:t>）</w:t>
      </w:r>
      <w:r w:rsidRPr="0074743A">
        <w:rPr>
          <w:iCs/>
        </w:rPr>
        <w:t>]</w:t>
      </w:r>
      <w:r w:rsidRPr="0074743A">
        <w:rPr>
          <w:rFonts w:ascii="宋体" w:eastAsia="宋体" w:hAnsi="宋体" w:cs="宋体" w:hint="eastAsia"/>
          <w:iCs/>
        </w:rPr>
        <w:t>产生的杂质</w:t>
      </w:r>
      <w:r w:rsidR="00284695" w:rsidRPr="0074743A">
        <w:rPr>
          <w:iCs/>
        </w:rPr>
        <w:t>.</w:t>
      </w:r>
    </w:p>
    <w:p w14:paraId="5DF08E66" w14:textId="77777777" w:rsidR="00BF0BE8" w:rsidRPr="0074743A" w:rsidRDefault="00284695" w:rsidP="00BF0BE8">
      <w:pPr>
        <w:ind w:left="-15"/>
        <w:rPr>
          <w:iCs/>
        </w:rPr>
      </w:pPr>
      <w:r w:rsidRPr="0074743A">
        <w:rPr>
          <w:iCs/>
        </w:rPr>
        <w:t xml:space="preserve">11.3.5 </w:t>
      </w:r>
      <w:r w:rsidR="00BF0BE8" w:rsidRPr="0074743A">
        <w:rPr>
          <w:rFonts w:ascii="宋体" w:eastAsia="宋体" w:hAnsi="宋体" w:cs="宋体" w:hint="eastAsia"/>
          <w:iCs/>
        </w:rPr>
        <w:t>应该对产品制造中涉及的所有可能的化学物质，</w:t>
      </w:r>
      <w:r w:rsidR="00BF0BE8" w:rsidRPr="0074743A">
        <w:rPr>
          <w:iCs/>
        </w:rPr>
        <w:t>API</w:t>
      </w:r>
      <w:r w:rsidR="00BF0BE8" w:rsidRPr="0074743A">
        <w:rPr>
          <w:rFonts w:ascii="宋体" w:eastAsia="宋体" w:hAnsi="宋体" w:cs="宋体" w:hint="eastAsia"/>
          <w:iCs/>
        </w:rPr>
        <w:t>，赋形剂，中间体，可能的降解物，清洁剂等进行清点。然后应对所有这些化学物质的危害类型和程度进行特征化，并确定是否存在重大风险。</w:t>
      </w:r>
    </w:p>
    <w:p w14:paraId="7093BB4A" w14:textId="77777777" w:rsidR="00BF0BE8" w:rsidRPr="0074743A" w:rsidRDefault="00BF0BE8" w:rsidP="00BF0BE8">
      <w:pPr>
        <w:ind w:left="-15"/>
        <w:rPr>
          <w:iCs/>
        </w:rPr>
      </w:pPr>
      <w:r w:rsidRPr="0074743A">
        <w:rPr>
          <w:iCs/>
        </w:rPr>
        <w:t>11.3.6</w:t>
      </w:r>
      <w:r w:rsidRPr="0074743A">
        <w:rPr>
          <w:rFonts w:ascii="宋体" w:eastAsia="宋体" w:hAnsi="宋体" w:cs="宋体" w:hint="eastAsia"/>
          <w:iCs/>
        </w:rPr>
        <w:t>药品生产中常用的许多材料已经进行了现有和全面的安全评估，这些评估对识别潜在危害非常有帮助。安全评估的来源包括：</w:t>
      </w:r>
    </w:p>
    <w:p w14:paraId="6E84F6B9" w14:textId="77777777" w:rsidR="00BF0BE8" w:rsidRPr="0074743A" w:rsidRDefault="00BF0BE8" w:rsidP="00BF0BE8">
      <w:pPr>
        <w:ind w:left="-15"/>
        <w:rPr>
          <w:iCs/>
        </w:rPr>
      </w:pPr>
      <w:r w:rsidRPr="0074743A">
        <w:rPr>
          <w:iCs/>
        </w:rPr>
        <w:t>11.3.6.1</w:t>
      </w:r>
      <w:r w:rsidRPr="0074743A">
        <w:rPr>
          <w:rFonts w:ascii="宋体" w:eastAsia="宋体" w:hAnsi="宋体" w:cs="宋体" w:hint="eastAsia"/>
          <w:iCs/>
        </w:rPr>
        <w:t>美国清洁学院。</w:t>
      </w:r>
    </w:p>
    <w:p w14:paraId="7DFA0652" w14:textId="77777777" w:rsidR="00BF0BE8" w:rsidRPr="0074743A" w:rsidRDefault="00BF0BE8" w:rsidP="00BF0BE8">
      <w:pPr>
        <w:ind w:left="-15"/>
        <w:rPr>
          <w:iCs/>
        </w:rPr>
      </w:pPr>
      <w:r w:rsidRPr="0074743A">
        <w:rPr>
          <w:iCs/>
        </w:rPr>
        <w:t>11.3.6.2</w:t>
      </w:r>
      <w:r w:rsidRPr="0074743A">
        <w:rPr>
          <w:rFonts w:ascii="宋体" w:eastAsia="宋体" w:hAnsi="宋体" w:cs="宋体" w:hint="eastAsia"/>
          <w:iCs/>
        </w:rPr>
        <w:t>食品和药物管理局的</w:t>
      </w:r>
      <w:r w:rsidRPr="0074743A">
        <w:rPr>
          <w:iCs/>
        </w:rPr>
        <w:t>GRAS</w:t>
      </w:r>
      <w:r w:rsidRPr="0074743A">
        <w:rPr>
          <w:rFonts w:ascii="宋体" w:eastAsia="宋体" w:hAnsi="宋体" w:cs="宋体" w:hint="eastAsia"/>
          <w:iCs/>
        </w:rPr>
        <w:t>物质专责委员会（</w:t>
      </w:r>
      <w:r w:rsidRPr="0074743A">
        <w:rPr>
          <w:iCs/>
        </w:rPr>
        <w:t>SCOGS</w:t>
      </w:r>
      <w:r w:rsidRPr="0074743A">
        <w:rPr>
          <w:rFonts w:ascii="宋体" w:eastAsia="宋体" w:hAnsi="宋体" w:cs="宋体" w:hint="eastAsia"/>
          <w:iCs/>
        </w:rPr>
        <w:t>）数据库。</w:t>
      </w:r>
    </w:p>
    <w:p w14:paraId="7BD18660" w14:textId="77777777" w:rsidR="00BF0BE8" w:rsidRDefault="00BF0BE8" w:rsidP="00BF0BE8">
      <w:pPr>
        <w:ind w:left="-15"/>
      </w:pPr>
      <w:r w:rsidRPr="0074743A">
        <w:rPr>
          <w:iCs/>
        </w:rPr>
        <w:t>11.3.6.3</w:t>
      </w:r>
      <w:r w:rsidRPr="0074743A">
        <w:rPr>
          <w:rFonts w:ascii="宋体" w:eastAsia="宋体" w:hAnsi="宋体" w:cs="宋体" w:hint="eastAsia"/>
          <w:iCs/>
        </w:rPr>
        <w:t>欧盟健康与环境风险科学委</w:t>
      </w:r>
      <w:r>
        <w:rPr>
          <w:rFonts w:ascii="宋体" w:eastAsia="宋体" w:hAnsi="宋体" w:cs="宋体" w:hint="eastAsia"/>
        </w:rPr>
        <w:t>员会。</w:t>
      </w:r>
    </w:p>
    <w:p w14:paraId="64369441" w14:textId="25FCE519" w:rsidR="00BF0BE8" w:rsidRPr="00BF0BE8" w:rsidRDefault="00BF0BE8" w:rsidP="00BF0BE8">
      <w:pPr>
        <w:ind w:left="-15"/>
      </w:pPr>
      <w:r>
        <w:t>11.3.6.4</w:t>
      </w:r>
      <w:r>
        <w:rPr>
          <w:rFonts w:ascii="宋体" w:eastAsia="宋体" w:hAnsi="宋体" w:cs="宋体" w:hint="eastAsia"/>
        </w:rPr>
        <w:t>有毒物质和疾病管理局</w:t>
      </w:r>
      <w:r w:rsidRPr="00BF0BE8">
        <w:rPr>
          <w:vertAlign w:val="subscript"/>
        </w:rPr>
        <w:t>11</w:t>
      </w:r>
    </w:p>
    <w:p w14:paraId="1CE27442" w14:textId="77777777" w:rsidR="00BF0BE8" w:rsidRDefault="00BF0BE8" w:rsidP="00BF0BE8">
      <w:pPr>
        <w:ind w:left="-15"/>
      </w:pPr>
      <w:r>
        <w:t>11.3.6.5</w:t>
      </w:r>
      <w:r>
        <w:rPr>
          <w:rFonts w:ascii="宋体" w:eastAsia="宋体" w:hAnsi="宋体" w:cs="宋体" w:hint="eastAsia"/>
        </w:rPr>
        <w:t>欧洲儿科配方倡议（</w:t>
      </w:r>
      <w:proofErr w:type="spellStart"/>
      <w:r>
        <w:t>EuPFI</w:t>
      </w:r>
      <w:proofErr w:type="spellEnd"/>
      <w:r>
        <w:rPr>
          <w:rFonts w:ascii="宋体" w:eastAsia="宋体" w:hAnsi="宋体" w:cs="宋体" w:hint="eastAsia"/>
        </w:rPr>
        <w:t>）</w:t>
      </w:r>
      <w:r>
        <w:t>STEP</w:t>
      </w:r>
      <w:r>
        <w:rPr>
          <w:rFonts w:ascii="宋体" w:eastAsia="宋体" w:hAnsi="宋体" w:cs="宋体" w:hint="eastAsia"/>
        </w:rPr>
        <w:t>数据库。</w:t>
      </w:r>
    </w:p>
    <w:p w14:paraId="3692B802" w14:textId="77777777" w:rsidR="00BF0BE8" w:rsidRDefault="00BF0BE8" w:rsidP="00BF0BE8">
      <w:pPr>
        <w:ind w:left="-15"/>
      </w:pPr>
      <w:r>
        <w:t>11.3.6.6</w:t>
      </w:r>
      <w:r>
        <w:rPr>
          <w:rFonts w:ascii="宋体" w:eastAsia="宋体" w:hAnsi="宋体" w:cs="宋体" w:hint="eastAsia"/>
        </w:rPr>
        <w:t>化妆品成分评审。</w:t>
      </w:r>
    </w:p>
    <w:p w14:paraId="35A9E8C3" w14:textId="77777777" w:rsidR="00BF0BE8" w:rsidRDefault="00BF0BE8" w:rsidP="00BF0BE8">
      <w:pPr>
        <w:ind w:left="-15"/>
      </w:pPr>
      <w:r>
        <w:t>11.3.6.7</w:t>
      </w:r>
      <w:r>
        <w:rPr>
          <w:rFonts w:ascii="宋体" w:eastAsia="宋体" w:hAnsi="宋体" w:cs="宋体" w:hint="eastAsia"/>
        </w:rPr>
        <w:t>化妆品和非食品科学委员会。</w:t>
      </w:r>
    </w:p>
    <w:p w14:paraId="525357FB" w14:textId="77777777" w:rsidR="00BF0BE8" w:rsidRDefault="00BF0BE8" w:rsidP="00BF0BE8">
      <w:pPr>
        <w:ind w:left="-15"/>
      </w:pPr>
      <w:r>
        <w:t>11.3.6.8</w:t>
      </w:r>
      <w:r>
        <w:rPr>
          <w:rFonts w:ascii="宋体" w:eastAsia="宋体" w:hAnsi="宋体" w:cs="宋体" w:hint="eastAsia"/>
        </w:rPr>
        <w:t>环境工作组的</w:t>
      </w:r>
      <w:r>
        <w:t>Skin Deep</w:t>
      </w:r>
      <w:r>
        <w:rPr>
          <w:rFonts w:ascii="宋体" w:eastAsia="宋体" w:hAnsi="宋体" w:cs="宋体" w:hint="eastAsia"/>
        </w:rPr>
        <w:t>数据库。</w:t>
      </w:r>
    </w:p>
    <w:p w14:paraId="62631B89" w14:textId="77777777" w:rsidR="00BF0BE8" w:rsidRDefault="00BF0BE8" w:rsidP="00BF0BE8">
      <w:pPr>
        <w:ind w:left="-15"/>
      </w:pPr>
      <w:r>
        <w:t>11.3.6.9</w:t>
      </w:r>
      <w:r>
        <w:rPr>
          <w:rFonts w:ascii="宋体" w:eastAsia="宋体" w:hAnsi="宋体" w:cs="宋体" w:hint="eastAsia"/>
        </w:rPr>
        <w:t>个人护理产品委员会在线</w:t>
      </w:r>
      <w:r>
        <w:t>INFOBASE</w:t>
      </w:r>
      <w:r>
        <w:rPr>
          <w:rFonts w:ascii="宋体" w:eastAsia="宋体" w:hAnsi="宋体" w:cs="宋体" w:hint="eastAsia"/>
        </w:rPr>
        <w:t>。</w:t>
      </w:r>
    </w:p>
    <w:p w14:paraId="0F24516E" w14:textId="77777777" w:rsidR="00BF0BE8" w:rsidRDefault="00BF0BE8" w:rsidP="00BF0BE8">
      <w:pPr>
        <w:ind w:left="-15"/>
      </w:pPr>
      <w:r>
        <w:t>11.3.7</w:t>
      </w:r>
      <w:r>
        <w:rPr>
          <w:rFonts w:ascii="宋体" w:eastAsia="宋体" w:hAnsi="宋体" w:cs="宋体" w:hint="eastAsia"/>
        </w:rPr>
        <w:t>没有足够的安全性评估或风险评估并构成潜在风险的赋形剂应被识别为危害，并应计算</w:t>
      </w:r>
      <w:r>
        <w:t>HBEL</w:t>
      </w:r>
      <w:r>
        <w:rPr>
          <w:rFonts w:ascii="宋体" w:eastAsia="宋体" w:hAnsi="宋体" w:cs="宋体" w:hint="eastAsia"/>
        </w:rPr>
        <w:t>。</w:t>
      </w:r>
    </w:p>
    <w:p w14:paraId="7F54A9B2" w14:textId="77777777" w:rsidR="00BF0BE8" w:rsidRDefault="00BF0BE8" w:rsidP="00BF0BE8">
      <w:pPr>
        <w:ind w:left="-15"/>
      </w:pPr>
      <w:r>
        <w:t>11.4</w:t>
      </w:r>
      <w:r>
        <w:rPr>
          <w:rFonts w:ascii="宋体" w:eastAsia="宋体" w:hAnsi="宋体" w:cs="宋体" w:hint="eastAsia"/>
        </w:rPr>
        <w:t>医疗设备注意事项：</w:t>
      </w:r>
    </w:p>
    <w:p w14:paraId="38FBE8B0" w14:textId="6DFF0F77" w:rsidR="0026097E" w:rsidRDefault="00BF0BE8" w:rsidP="00BF0BE8">
      <w:pPr>
        <w:ind w:left="-15"/>
      </w:pPr>
      <w:r>
        <w:t>11.4.1</w:t>
      </w:r>
      <w:r>
        <w:rPr>
          <w:rFonts w:ascii="宋体" w:eastAsia="宋体" w:hAnsi="宋体" w:cs="宋体" w:hint="eastAsia"/>
        </w:rPr>
        <w:t>对于医疗器械上的药物残留，可萃取物，可浸出物和清洁残留物，推导</w:t>
      </w:r>
      <w:r>
        <w:t>HBEL</w:t>
      </w:r>
      <w:r>
        <w:rPr>
          <w:rFonts w:ascii="宋体" w:eastAsia="宋体" w:hAnsi="宋体" w:cs="宋体" w:hint="eastAsia"/>
        </w:rPr>
        <w:t>时要考虑几个重要的考虑因素。为了充分估计医疗设备上残留化学药品的潜在暴露量，重要的是要了解该设备的使用方式以及人们如何暴露。应明确定义具体的接触途径，以确定是否将通过皮肤，口服，吸入（例如，鼻腔器械），手术植入物或其他接触途径发生接触。了解被暴露的人也很重要，例如该设备是否将由儿童，成人，孕妇，哺乳期的母亲，老人，其他可能敏感的人使用，或其组合使用。应明确定义曝光频率和持续时间，以确定一个人在一生中可能多长时间接触一次设备（例如，每生一次，每天一次或介于两者之间）。根据给定医疗设备的预期用途，暴露时间可能会从仅仅</w:t>
      </w:r>
      <w:r>
        <w:t>1</w:t>
      </w:r>
      <w:r>
        <w:rPr>
          <w:rFonts w:ascii="宋体" w:eastAsia="宋体" w:hAnsi="宋体" w:cs="宋体" w:hint="eastAsia"/>
        </w:rPr>
        <w:t>天到整个生命周期（例如</w:t>
      </w:r>
      <w:r>
        <w:t>68.5</w:t>
      </w:r>
      <w:r>
        <w:rPr>
          <w:rFonts w:ascii="宋体" w:eastAsia="宋体" w:hAnsi="宋体" w:cs="宋体" w:hint="eastAsia"/>
        </w:rPr>
        <w:t>年或</w:t>
      </w:r>
      <w:r>
        <w:t>25000</w:t>
      </w:r>
      <w:r>
        <w:rPr>
          <w:rFonts w:ascii="宋体" w:eastAsia="宋体" w:hAnsi="宋体" w:cs="宋体" w:hint="eastAsia"/>
        </w:rPr>
        <w:t>天）有很大不同。</w:t>
      </w:r>
      <w:r>
        <w:t xml:space="preserve"> ISO</w:t>
      </w:r>
      <w:r>
        <w:rPr>
          <w:rFonts w:ascii="宋体" w:eastAsia="宋体" w:hAnsi="宋体" w:cs="宋体" w:hint="eastAsia"/>
        </w:rPr>
        <w:t>关于确定医疗设备中可浸出物质允许限量的指南将永久性接触设备定义为</w:t>
      </w:r>
      <w:r>
        <w:t>31</w:t>
      </w:r>
      <w:r>
        <w:rPr>
          <w:rFonts w:ascii="宋体" w:eastAsia="宋体" w:hAnsi="宋体" w:cs="宋体" w:hint="eastAsia"/>
        </w:rPr>
        <w:t>至</w:t>
      </w:r>
      <w:r>
        <w:t>25,000</w:t>
      </w:r>
      <w:r>
        <w:rPr>
          <w:rFonts w:ascii="宋体" w:eastAsia="宋体" w:hAnsi="宋体" w:cs="宋体" w:hint="eastAsia"/>
        </w:rPr>
        <w:t>天，使用了长期接触设备，将其使用</w:t>
      </w:r>
      <w:r>
        <w:t>2</w:t>
      </w:r>
      <w:r>
        <w:rPr>
          <w:rFonts w:ascii="宋体" w:eastAsia="宋体" w:hAnsi="宋体" w:cs="宋体" w:hint="eastAsia"/>
        </w:rPr>
        <w:t>至</w:t>
      </w:r>
      <w:r>
        <w:t>30</w:t>
      </w:r>
      <w:r>
        <w:rPr>
          <w:rFonts w:ascii="宋体" w:eastAsia="宋体" w:hAnsi="宋体" w:cs="宋体" w:hint="eastAsia"/>
        </w:rPr>
        <w:t>天，将有限接触设备定义为</w:t>
      </w:r>
      <w:r>
        <w:t>2</w:t>
      </w:r>
      <w:r>
        <w:rPr>
          <w:rFonts w:ascii="宋体" w:eastAsia="宋体" w:hAnsi="宋体" w:cs="宋体" w:hint="eastAsia"/>
        </w:rPr>
        <w:t>天至</w:t>
      </w:r>
      <w:r>
        <w:t>30</w:t>
      </w:r>
      <w:r>
        <w:rPr>
          <w:rFonts w:ascii="宋体" w:eastAsia="宋体" w:hAnsi="宋体" w:cs="宋体" w:hint="eastAsia"/>
        </w:rPr>
        <w:t>天。</w:t>
      </w:r>
      <w:r>
        <w:t xml:space="preserve"> 1</w:t>
      </w:r>
      <w:r>
        <w:rPr>
          <w:rFonts w:ascii="宋体" w:eastAsia="宋体" w:hAnsi="宋体" w:cs="宋体" w:hint="eastAsia"/>
        </w:rPr>
        <w:t>天（</w:t>
      </w:r>
      <w:r>
        <w:t>ISO 10993-17</w:t>
      </w:r>
      <w:r>
        <w:rPr>
          <w:rFonts w:ascii="宋体" w:eastAsia="宋体" w:hAnsi="宋体" w:cs="宋体" w:hint="eastAsia"/>
        </w:rPr>
        <w:t>）。</w:t>
      </w:r>
      <w:r>
        <w:t xml:space="preserve"> FDA</w:t>
      </w:r>
      <w:r>
        <w:rPr>
          <w:rFonts w:ascii="宋体" w:eastAsia="宋体" w:hAnsi="宋体" w:cs="宋体" w:hint="eastAsia"/>
        </w:rPr>
        <w:t>最近表示，他们不认可永久性接触设备的暴露推断（</w:t>
      </w:r>
      <w:r>
        <w:t>131</w:t>
      </w:r>
      <w:r>
        <w:rPr>
          <w:rFonts w:ascii="宋体" w:eastAsia="宋体" w:hAnsi="宋体" w:cs="宋体" w:hint="eastAsia"/>
        </w:rPr>
        <w:t>）。因此，在实践中，评估人员对预期暴露持续时间</w:t>
      </w:r>
      <w:r>
        <w:t>&lt;30</w:t>
      </w:r>
      <w:r>
        <w:rPr>
          <w:rFonts w:ascii="宋体" w:eastAsia="宋体" w:hAnsi="宋体" w:cs="宋体" w:hint="eastAsia"/>
        </w:rPr>
        <w:t>天的设备做出高度保守的假设，即在整个暴露持续时间内，每天都会释放提取的化学物质的总量。请注意，此方法保守地假设存在无限量的可提取化学物质，该化学物质可以每天在延长的时间段内释放。但是，由于缺乏分析化学数据，无法清楚地了解随着时间的推移从设备释放化学物质的动力学，因此这种方法是生物相容性评估和</w:t>
      </w:r>
      <w:r>
        <w:t>FDA</w:t>
      </w:r>
      <w:r>
        <w:rPr>
          <w:rFonts w:ascii="宋体" w:eastAsia="宋体" w:hAnsi="宋体" w:cs="宋体" w:hint="eastAsia"/>
        </w:rPr>
        <w:t>批准的标准。对于预期延长或受限制的暴露时间（例如，</w:t>
      </w:r>
      <w:r>
        <w:t>≤30</w:t>
      </w:r>
      <w:r>
        <w:rPr>
          <w:rFonts w:ascii="宋体" w:eastAsia="宋体" w:hAnsi="宋体" w:cs="宋体" w:hint="eastAsia"/>
        </w:rPr>
        <w:t>天）的设备，与这些针对医疗设备的终生暴露的最佳实践一致，最大允许限值（例如，</w:t>
      </w:r>
      <w:r>
        <w:t>HBEL</w:t>
      </w:r>
      <w:r>
        <w:rPr>
          <w:rFonts w:ascii="宋体" w:eastAsia="宋体" w:hAnsi="宋体" w:cs="宋体" w:hint="eastAsia"/>
        </w:rPr>
        <w:t>，</w:t>
      </w:r>
      <w:r>
        <w:t>mg / day</w:t>
      </w:r>
      <w:r>
        <w:rPr>
          <w:rFonts w:ascii="宋体" w:eastAsia="宋体" w:hAnsi="宋体" w:cs="宋体" w:hint="eastAsia"/>
        </w:rPr>
        <w:t>）为根据暴露时间调整为最大剂量</w:t>
      </w:r>
      <w:r w:rsidR="00284695">
        <w:t>:</w:t>
      </w:r>
    </w:p>
    <w:p w14:paraId="331A8839" w14:textId="06EA57B6" w:rsidR="0026097E" w:rsidRDefault="00284695">
      <w:pPr>
        <w:tabs>
          <w:tab w:val="center" w:pos="2603"/>
          <w:tab w:val="right" w:pos="5030"/>
        </w:tabs>
        <w:spacing w:after="140" w:line="259" w:lineRule="auto"/>
        <w:ind w:right="-1" w:firstLine="0"/>
        <w:jc w:val="left"/>
      </w:pPr>
      <w:r>
        <w:rPr>
          <w:rFonts w:ascii="Calibri" w:eastAsia="Calibri" w:hAnsi="Calibri" w:cs="Calibri"/>
          <w:color w:val="000000"/>
          <w:sz w:val="22"/>
        </w:rPr>
        <w:tab/>
      </w:r>
      <w:r w:rsidRPr="008E2B3B">
        <w:rPr>
          <w:i/>
          <w:sz w:val="21"/>
          <w:szCs w:val="21"/>
        </w:rPr>
        <w:t xml:space="preserve">m </w:t>
      </w:r>
      <w:r w:rsidRPr="008E2B3B">
        <w:rPr>
          <w:sz w:val="21"/>
          <w:szCs w:val="21"/>
          <w:vertAlign w:val="subscript"/>
        </w:rPr>
        <w:t xml:space="preserve">dev </w:t>
      </w:r>
      <w:r w:rsidR="00BF0BE8" w:rsidRPr="008E2B3B">
        <w:rPr>
          <w:rFonts w:asciiTheme="minorEastAsia" w:eastAsiaTheme="minorEastAsia" w:hAnsiTheme="minorEastAsia" w:cs="Univers" w:hint="eastAsia"/>
          <w:sz w:val="21"/>
          <w:szCs w:val="21"/>
        </w:rPr>
        <w:t>=</w:t>
      </w:r>
      <w:r w:rsidRPr="008E2B3B">
        <w:rPr>
          <w:rFonts w:ascii="Univers" w:eastAsia="Univers" w:hAnsi="Univers" w:cs="Univers"/>
          <w:sz w:val="21"/>
          <w:szCs w:val="21"/>
        </w:rPr>
        <w:t xml:space="preserve"> </w:t>
      </w:r>
      <w:r w:rsidRPr="008E2B3B">
        <w:rPr>
          <w:sz w:val="21"/>
          <w:szCs w:val="21"/>
        </w:rPr>
        <w:t xml:space="preserve">HBEL </w:t>
      </w:r>
      <w:r w:rsidR="00BF0BE8" w:rsidRPr="008E2B3B">
        <w:rPr>
          <w:rFonts w:ascii="Clarendon" w:eastAsia="Univers" w:hAnsi="Clarendon" w:cs="Univers"/>
          <w:sz w:val="21"/>
          <w:szCs w:val="21"/>
        </w:rPr>
        <w:t>×</w:t>
      </w:r>
      <w:r w:rsidRPr="008E2B3B">
        <w:rPr>
          <w:i/>
          <w:sz w:val="21"/>
          <w:szCs w:val="21"/>
        </w:rPr>
        <w:t>d</w:t>
      </w:r>
      <w:r>
        <w:rPr>
          <w:i/>
          <w:sz w:val="17"/>
        </w:rPr>
        <w:tab/>
      </w:r>
      <w:r>
        <w:rPr>
          <w:sz w:val="17"/>
        </w:rPr>
        <w:t>(13)</w:t>
      </w:r>
    </w:p>
    <w:p w14:paraId="1BE8B5D8" w14:textId="23280EE7" w:rsidR="0026097E" w:rsidRDefault="0026097E" w:rsidP="0074743A">
      <w:pPr>
        <w:spacing w:after="71"/>
        <w:ind w:firstLine="0"/>
      </w:pPr>
    </w:p>
    <w:p w14:paraId="4994EFB7" w14:textId="7748D764" w:rsidR="0026097E" w:rsidRDefault="00284695">
      <w:pPr>
        <w:ind w:left="-15" w:firstLine="0"/>
      </w:pPr>
      <w:proofErr w:type="spellStart"/>
      <w:r>
        <w:rPr>
          <w:i/>
        </w:rPr>
        <w:t>m</w:t>
      </w:r>
      <w:r>
        <w:rPr>
          <w:vertAlign w:val="subscript"/>
        </w:rPr>
        <w:t>dev</w:t>
      </w:r>
      <w:proofErr w:type="spellEnd"/>
      <w:r>
        <w:rPr>
          <w:vertAlign w:val="subscript"/>
        </w:rPr>
        <w:t xml:space="preserve"> </w:t>
      </w:r>
      <w:r>
        <w:t xml:space="preserve">= </w:t>
      </w:r>
      <w:r w:rsidR="00BF0BE8" w:rsidRPr="00BF0BE8">
        <w:rPr>
          <w:rFonts w:ascii="宋体" w:eastAsia="宋体" w:hAnsi="宋体" w:cs="宋体" w:hint="eastAsia"/>
        </w:rPr>
        <w:t>以</w:t>
      </w:r>
      <w:proofErr w:type="gramStart"/>
      <w:r w:rsidR="00BF0BE8" w:rsidRPr="00BF0BE8">
        <w:rPr>
          <w:rFonts w:ascii="宋体" w:eastAsia="宋体" w:hAnsi="宋体" w:cs="宋体" w:hint="eastAsia"/>
        </w:rPr>
        <w:t>毫克</w:t>
      </w:r>
      <w:r w:rsidR="00BF0BE8" w:rsidRPr="00BF0BE8">
        <w:t>/</w:t>
      </w:r>
      <w:proofErr w:type="gramEnd"/>
      <w:r w:rsidR="00BF0BE8" w:rsidRPr="00BF0BE8">
        <w:rPr>
          <w:rFonts w:ascii="宋体" w:eastAsia="宋体" w:hAnsi="宋体" w:cs="宋体" w:hint="eastAsia"/>
        </w:rPr>
        <w:t>装置为单位的患者最大剂量，</w:t>
      </w:r>
      <w:r w:rsidR="00BF0BE8" w:rsidRPr="00BF0BE8">
        <w:t>HBEL =</w:t>
      </w:r>
      <w:r w:rsidR="00BF0BE8" w:rsidRPr="00BF0BE8">
        <w:rPr>
          <w:rFonts w:ascii="宋体" w:eastAsia="宋体" w:hAnsi="宋体" w:cs="宋体" w:hint="eastAsia"/>
        </w:rPr>
        <w:t>以前建立的基于健康的暴露单位</w:t>
      </w:r>
    </w:p>
    <w:p w14:paraId="71BD2DEC" w14:textId="77777777" w:rsidR="0026097E" w:rsidRDefault="00284695">
      <w:pPr>
        <w:ind w:left="930" w:firstLine="0"/>
      </w:pPr>
      <w:r>
        <w:t>(mg/day), and</w:t>
      </w:r>
    </w:p>
    <w:p w14:paraId="32D0B844" w14:textId="76985373" w:rsidR="0026097E" w:rsidRDefault="00284695" w:rsidP="00BF0BE8">
      <w:pPr>
        <w:tabs>
          <w:tab w:val="center" w:pos="1204"/>
          <w:tab w:val="center" w:pos="2274"/>
          <w:tab w:val="center" w:pos="3402"/>
          <w:tab w:val="center" w:pos="3800"/>
          <w:tab w:val="center" w:pos="4251"/>
          <w:tab w:val="right" w:pos="5030"/>
        </w:tabs>
        <w:ind w:left="-15" w:firstLine="0"/>
        <w:jc w:val="left"/>
      </w:pPr>
      <w:r>
        <w:rPr>
          <w:i/>
        </w:rPr>
        <w:t>d</w:t>
      </w:r>
      <w:r>
        <w:rPr>
          <w:i/>
        </w:rPr>
        <w:tab/>
      </w:r>
      <w:r>
        <w:t>=</w:t>
      </w:r>
      <w:r w:rsidR="00BF0BE8">
        <w:rPr>
          <w:rFonts w:ascii="宋体" w:eastAsia="宋体" w:hAnsi="宋体" w:cs="宋体" w:hint="eastAsia"/>
        </w:rPr>
        <w:t>预期的暴露持续天数（</w:t>
      </w:r>
      <w:r w:rsidR="00BF0BE8">
        <w:t>ISO10993-17</w:t>
      </w:r>
      <w:r w:rsidR="00BF0BE8">
        <w:rPr>
          <w:rFonts w:ascii="宋体" w:eastAsia="宋体" w:hAnsi="宋体" w:cs="宋体" w:hint="eastAsia"/>
        </w:rPr>
        <w:t>）</w:t>
      </w:r>
      <w:r>
        <w:t>.</w:t>
      </w:r>
    </w:p>
    <w:p w14:paraId="26D81831" w14:textId="77777777" w:rsidR="00BF0BE8" w:rsidRDefault="00284695" w:rsidP="00BF0BE8">
      <w:pPr>
        <w:ind w:left="-15"/>
      </w:pPr>
      <w:r>
        <w:t xml:space="preserve">11.4.2 </w:t>
      </w:r>
      <w:r w:rsidR="00BF0BE8">
        <w:rPr>
          <w:rFonts w:ascii="宋体" w:eastAsia="宋体" w:hAnsi="宋体" w:cs="宋体" w:hint="eastAsia"/>
        </w:rPr>
        <w:t>必须应用标准风险评估方法（即来自</w:t>
      </w:r>
      <w:r w:rsidR="00BF0BE8">
        <w:t>EPA</w:t>
      </w:r>
      <w:r w:rsidR="00BF0BE8">
        <w:rPr>
          <w:rFonts w:ascii="宋体" w:eastAsia="宋体" w:hAnsi="宋体" w:cs="宋体" w:hint="eastAsia"/>
        </w:rPr>
        <w:t>或</w:t>
      </w:r>
      <w:r w:rsidR="00BF0BE8">
        <w:t>FDA</w:t>
      </w:r>
      <w:r w:rsidR="00BF0BE8">
        <w:rPr>
          <w:rFonts w:ascii="宋体" w:eastAsia="宋体" w:hAnsi="宋体" w:cs="宋体" w:hint="eastAsia"/>
        </w:rPr>
        <w:t>），以量化与相关暴露信息有关的潜在风险，以便可以为医疗设备建立</w:t>
      </w:r>
      <w:r w:rsidR="00BF0BE8">
        <w:t>HBEL</w:t>
      </w:r>
      <w:r w:rsidR="00BF0BE8">
        <w:rPr>
          <w:rFonts w:ascii="宋体" w:eastAsia="宋体" w:hAnsi="宋体" w:cs="宋体" w:hint="eastAsia"/>
        </w:rPr>
        <w:t>。如前面各节所述，这将涉及对作用机理，关键作用，</w:t>
      </w:r>
      <w:r w:rsidR="00BF0BE8">
        <w:t>PK / PD</w:t>
      </w:r>
      <w:r w:rsidR="00BF0BE8">
        <w:rPr>
          <w:rFonts w:ascii="宋体" w:eastAsia="宋体" w:hAnsi="宋体" w:cs="宋体" w:hint="eastAsia"/>
        </w:rPr>
        <w:t>特性以及给定途径，持续时间和暴露频率的化学残留物的有效和无效剂量的理解，并考虑潜在的危害。易感人群。</w:t>
      </w:r>
    </w:p>
    <w:p w14:paraId="4B24C440" w14:textId="77777777" w:rsidR="00BF0BE8" w:rsidRDefault="00BF0BE8" w:rsidP="00BF0BE8">
      <w:pPr>
        <w:ind w:left="-15"/>
      </w:pPr>
      <w:r>
        <w:t>11.4.3</w:t>
      </w:r>
      <w:r>
        <w:rPr>
          <w:rFonts w:ascii="宋体" w:eastAsia="宋体" w:hAnsi="宋体" w:cs="宋体" w:hint="eastAsia"/>
        </w:rPr>
        <w:t>有必要制定设备测试程序以测量化学残留水平，以便与医疗设备专用的</w:t>
      </w:r>
      <w:r>
        <w:t>HBEL</w:t>
      </w:r>
      <w:r>
        <w:rPr>
          <w:rFonts w:ascii="宋体" w:eastAsia="宋体" w:hAnsi="宋体" w:cs="宋体" w:hint="eastAsia"/>
        </w:rPr>
        <w:t>相比较（例如，擦拭皮肤接触测试或在其他相关生物流体模拟中进行测试）。对于超出医疗器械特定</w:t>
      </w:r>
      <w:r>
        <w:t>HBEL</w:t>
      </w:r>
      <w:r>
        <w:rPr>
          <w:rFonts w:ascii="宋体" w:eastAsia="宋体" w:hAnsi="宋体" w:cs="宋体" w:hint="eastAsia"/>
        </w:rPr>
        <w:t>的物质，开发充分清洁器械的方法以确保去除残留化学物质以满足</w:t>
      </w:r>
      <w:r>
        <w:t>HBEL</w:t>
      </w:r>
      <w:r>
        <w:rPr>
          <w:rFonts w:ascii="宋体" w:eastAsia="宋体" w:hAnsi="宋体" w:cs="宋体" w:hint="eastAsia"/>
        </w:rPr>
        <w:t>至关重要。目前可</w:t>
      </w:r>
      <w:r>
        <w:rPr>
          <w:rFonts w:ascii="宋体" w:eastAsia="宋体" w:hAnsi="宋体" w:cs="宋体" w:hint="eastAsia"/>
        </w:rPr>
        <w:lastRenderedPageBreak/>
        <w:t>以考虑几种清洁准则。指南</w:t>
      </w:r>
      <w:r>
        <w:t>F3127</w:t>
      </w:r>
      <w:r>
        <w:rPr>
          <w:rFonts w:ascii="宋体" w:eastAsia="宋体" w:hAnsi="宋体" w:cs="宋体" w:hint="eastAsia"/>
        </w:rPr>
        <w:t>提供了有关验证医疗器械制造过程中使用的清洁过程的指南。指南</w:t>
      </w:r>
      <w:r>
        <w:t>E3106</w:t>
      </w:r>
      <w:r>
        <w:rPr>
          <w:rFonts w:ascii="宋体" w:eastAsia="宋体" w:hAnsi="宋体" w:cs="宋体" w:hint="eastAsia"/>
        </w:rPr>
        <w:t>提供了一种基于科学和基于风险的方法来开发制药，生物，化妆品和医疗设备产品的清洁工艺。</w:t>
      </w:r>
      <w:r>
        <w:t xml:space="preserve"> ISO 17664</w:t>
      </w:r>
      <w:r>
        <w:rPr>
          <w:rFonts w:ascii="宋体" w:eastAsia="宋体" w:hAnsi="宋体" w:cs="宋体" w:hint="eastAsia"/>
        </w:rPr>
        <w:t>指南规定了设备制造商的清洁，消毒和灭菌要求，以确保医疗设备的安全性和有效性。疾病控制和预防中心（</w:t>
      </w:r>
      <w:r>
        <w:t>CDC</w:t>
      </w:r>
      <w:r>
        <w:rPr>
          <w:rFonts w:ascii="宋体" w:eastAsia="宋体" w:hAnsi="宋体" w:cs="宋体" w:hint="eastAsia"/>
        </w:rPr>
        <w:t>）和世界卫生组织（</w:t>
      </w:r>
      <w:r>
        <w:t>WHO</w:t>
      </w:r>
      <w:r>
        <w:rPr>
          <w:rFonts w:ascii="宋体" w:eastAsia="宋体" w:hAnsi="宋体" w:cs="宋体" w:hint="eastAsia"/>
        </w:rPr>
        <w:t>）提供了有关设备灭菌和消毒的其他指南（</w:t>
      </w:r>
      <w:r>
        <w:t>132</w:t>
      </w:r>
      <w:r>
        <w:rPr>
          <w:rFonts w:ascii="宋体" w:eastAsia="宋体" w:hAnsi="宋体" w:cs="宋体" w:hint="eastAsia"/>
        </w:rPr>
        <w:t>，</w:t>
      </w:r>
      <w:r>
        <w:t>133</w:t>
      </w:r>
      <w:r>
        <w:rPr>
          <w:rFonts w:ascii="宋体" w:eastAsia="宋体" w:hAnsi="宋体" w:cs="宋体" w:hint="eastAsia"/>
        </w:rPr>
        <w:t>）。</w:t>
      </w:r>
    </w:p>
    <w:p w14:paraId="5AA0098A" w14:textId="5C89AAC8" w:rsidR="0026097E" w:rsidRDefault="00BF0BE8" w:rsidP="00BF0BE8">
      <w:pPr>
        <w:ind w:left="-15"/>
      </w:pPr>
      <w:r>
        <w:t>11.4.4</w:t>
      </w:r>
      <w:r>
        <w:rPr>
          <w:rFonts w:ascii="宋体" w:eastAsia="宋体" w:hAnsi="宋体" w:cs="宋体" w:hint="eastAsia"/>
        </w:rPr>
        <w:t>还必须对最终医疗器械进行生物学测试，以确保已充分去除化学残留物。可以考虑并在附录</w:t>
      </w:r>
      <w:r>
        <w:t>X3</w:t>
      </w:r>
      <w:r>
        <w:rPr>
          <w:rFonts w:ascii="宋体" w:eastAsia="宋体" w:hAnsi="宋体" w:cs="宋体" w:hint="eastAsia"/>
        </w:rPr>
        <w:t>中列出了几种医疗设备测试指南</w:t>
      </w:r>
    </w:p>
    <w:p w14:paraId="489AE151" w14:textId="5F78C3B2" w:rsidR="0026097E" w:rsidRDefault="00735C3F">
      <w:pPr>
        <w:numPr>
          <w:ilvl w:val="0"/>
          <w:numId w:val="11"/>
        </w:numPr>
        <w:spacing w:after="94"/>
        <w:ind w:hanging="349"/>
        <w:jc w:val="left"/>
      </w:pPr>
      <w:r w:rsidRPr="00735C3F">
        <w:rPr>
          <w:b/>
        </w:rPr>
        <w:t>HBEL</w:t>
      </w:r>
      <w:r w:rsidRPr="00735C3F">
        <w:rPr>
          <w:rFonts w:ascii="宋体" w:eastAsia="宋体" w:hAnsi="宋体" w:cs="宋体" w:hint="eastAsia"/>
          <w:b/>
        </w:rPr>
        <w:t>推导的文件</w:t>
      </w:r>
    </w:p>
    <w:p w14:paraId="78C2AB0D" w14:textId="19536592" w:rsidR="0026097E" w:rsidRDefault="00284695">
      <w:pPr>
        <w:spacing w:after="224" w:line="259" w:lineRule="auto"/>
        <w:ind w:left="200" w:hanging="10"/>
        <w:jc w:val="left"/>
      </w:pPr>
      <w:r>
        <w:t xml:space="preserve">12.1 </w:t>
      </w:r>
      <w:r w:rsidR="00735C3F">
        <w:rPr>
          <w:rFonts w:ascii="宋体" w:eastAsia="宋体" w:hAnsi="宋体" w:cs="宋体" w:hint="eastAsia"/>
        </w:rPr>
        <w:t>见附录</w:t>
      </w:r>
      <w:r>
        <w:rPr>
          <w:color w:val="C1151A"/>
        </w:rPr>
        <w:t xml:space="preserve"> X1</w:t>
      </w:r>
      <w:r>
        <w:t>.</w:t>
      </w:r>
    </w:p>
    <w:p w14:paraId="5F290EA0" w14:textId="79AD2968" w:rsidR="0026097E" w:rsidRDefault="00284695">
      <w:pPr>
        <w:pStyle w:val="2"/>
        <w:ind w:left="-5"/>
      </w:pPr>
      <w:r>
        <w:t>13.</w:t>
      </w:r>
      <w:r w:rsidR="00735C3F">
        <w:rPr>
          <w:rFonts w:ascii="宋体" w:eastAsia="宋体" w:hAnsi="宋体" w:cs="宋体" w:hint="eastAsia"/>
        </w:rPr>
        <w:t>关键词</w:t>
      </w:r>
    </w:p>
    <w:p w14:paraId="45230889" w14:textId="62F1A83B" w:rsidR="0026097E" w:rsidRDefault="00284695">
      <w:pPr>
        <w:ind w:left="-15"/>
      </w:pPr>
      <w:r>
        <w:t>13.1</w:t>
      </w:r>
      <w:r w:rsidR="00735C3F" w:rsidRPr="00735C3F">
        <w:t xml:space="preserve"> ADE; </w:t>
      </w:r>
      <w:r w:rsidR="00735C3F" w:rsidRPr="00735C3F">
        <w:rPr>
          <w:rFonts w:ascii="宋体" w:eastAsia="宋体" w:hAnsi="宋体" w:cs="宋体" w:hint="eastAsia"/>
        </w:rPr>
        <w:t>危害评估；</w:t>
      </w:r>
      <w:r w:rsidR="00735C3F" w:rsidRPr="00735C3F">
        <w:t xml:space="preserve"> HBEL</w:t>
      </w:r>
      <w:r w:rsidR="00735C3F" w:rsidRPr="00735C3F">
        <w:rPr>
          <w:rFonts w:ascii="宋体" w:eastAsia="宋体" w:hAnsi="宋体" w:cs="宋体" w:hint="eastAsia"/>
        </w:rPr>
        <w:t>；</w:t>
      </w:r>
      <w:r w:rsidR="00735C3F" w:rsidRPr="00735C3F">
        <w:t xml:space="preserve"> </w:t>
      </w:r>
      <w:r w:rsidR="00735C3F" w:rsidRPr="00735C3F">
        <w:rPr>
          <w:rFonts w:ascii="宋体" w:eastAsia="宋体" w:hAnsi="宋体" w:cs="宋体" w:hint="eastAsia"/>
        </w:rPr>
        <w:t>基于健康的接触限值；</w:t>
      </w:r>
      <w:r w:rsidR="00735C3F" w:rsidRPr="00735C3F">
        <w:t xml:space="preserve"> PDE; </w:t>
      </w:r>
      <w:r w:rsidR="00735C3F" w:rsidRPr="00735C3F">
        <w:rPr>
          <w:rFonts w:ascii="宋体" w:eastAsia="宋体" w:hAnsi="宋体" w:cs="宋体" w:hint="eastAsia"/>
        </w:rPr>
        <w:t>制药业；</w:t>
      </w:r>
      <w:r w:rsidR="00735C3F" w:rsidRPr="00735C3F">
        <w:t xml:space="preserve"> </w:t>
      </w:r>
      <w:r w:rsidR="00735C3F" w:rsidRPr="00735C3F">
        <w:rPr>
          <w:rFonts w:ascii="宋体" w:eastAsia="宋体" w:hAnsi="宋体" w:cs="宋体" w:hint="eastAsia"/>
        </w:rPr>
        <w:t>风险评估</w:t>
      </w:r>
    </w:p>
    <w:tbl>
      <w:tblPr>
        <w:tblStyle w:val="TableGrid"/>
        <w:tblpPr w:vertAnchor="text" w:horzAnchor="margin"/>
        <w:tblOverlap w:val="never"/>
        <w:tblW w:w="10418" w:type="dxa"/>
        <w:tblInd w:w="0" w:type="dxa"/>
        <w:tblCellMar>
          <w:left w:w="3782" w:type="dxa"/>
          <w:right w:w="3783" w:type="dxa"/>
        </w:tblCellMar>
        <w:tblLook w:val="04A0" w:firstRow="1" w:lastRow="0" w:firstColumn="1" w:lastColumn="0" w:noHBand="0" w:noVBand="1"/>
      </w:tblPr>
      <w:tblGrid>
        <w:gridCol w:w="10418"/>
      </w:tblGrid>
      <w:tr w:rsidR="0026097E" w14:paraId="10B1D0C6" w14:textId="77777777" w:rsidTr="00EC1A52">
        <w:trPr>
          <w:trHeight w:val="995"/>
        </w:trPr>
        <w:tc>
          <w:tcPr>
            <w:tcW w:w="10418" w:type="dxa"/>
            <w:tcBorders>
              <w:top w:val="nil"/>
              <w:left w:val="nil"/>
              <w:bottom w:val="nil"/>
              <w:right w:val="nil"/>
            </w:tcBorders>
          </w:tcPr>
          <w:p w14:paraId="6C0B45A3" w14:textId="3D165ED2" w:rsidR="0026097E" w:rsidRDefault="00735C3F" w:rsidP="00797A26">
            <w:pPr>
              <w:spacing w:after="184" w:line="259" w:lineRule="auto"/>
              <w:ind w:firstLine="0"/>
              <w:jc w:val="center"/>
            </w:pPr>
            <w:r>
              <w:rPr>
                <w:rFonts w:ascii="宋体" w:eastAsia="宋体" w:hAnsi="宋体" w:cs="宋体" w:hint="eastAsia"/>
                <w:b/>
              </w:rPr>
              <w:t>附录</w:t>
            </w:r>
          </w:p>
          <w:p w14:paraId="077B5E34" w14:textId="10B8F4DB" w:rsidR="0026097E" w:rsidRDefault="00284695" w:rsidP="00797A26">
            <w:pPr>
              <w:spacing w:after="214" w:line="259" w:lineRule="auto"/>
              <w:ind w:firstLine="0"/>
              <w:jc w:val="center"/>
            </w:pPr>
            <w:r>
              <w:rPr>
                <w:b/>
                <w:sz w:val="18"/>
              </w:rPr>
              <w:t>(</w:t>
            </w:r>
            <w:r w:rsidR="00735C3F">
              <w:rPr>
                <w:rFonts w:ascii="宋体" w:eastAsia="宋体" w:hAnsi="宋体" w:cs="宋体" w:hint="eastAsia"/>
                <w:b/>
                <w:sz w:val="18"/>
              </w:rPr>
              <w:t>强制性信息</w:t>
            </w:r>
            <w:r>
              <w:rPr>
                <w:b/>
                <w:sz w:val="18"/>
              </w:rPr>
              <w:t>)</w:t>
            </w:r>
          </w:p>
          <w:p w14:paraId="22D9983B" w14:textId="68423987" w:rsidR="0026097E" w:rsidRDefault="00735C3F" w:rsidP="00797A26">
            <w:pPr>
              <w:spacing w:after="0" w:line="259" w:lineRule="auto"/>
              <w:ind w:firstLine="0"/>
              <w:jc w:val="center"/>
            </w:pPr>
            <w:r w:rsidRPr="00735C3F">
              <w:rPr>
                <w:b/>
                <w:sz w:val="18"/>
              </w:rPr>
              <w:t xml:space="preserve">X1 </w:t>
            </w:r>
            <w:r w:rsidRPr="00735C3F">
              <w:rPr>
                <w:rFonts w:ascii="宋体" w:eastAsia="宋体" w:hAnsi="宋体" w:cs="宋体" w:hint="eastAsia"/>
                <w:b/>
                <w:sz w:val="18"/>
              </w:rPr>
              <w:t>示例</w:t>
            </w:r>
            <w:r w:rsidRPr="00735C3F">
              <w:rPr>
                <w:b/>
                <w:sz w:val="18"/>
              </w:rPr>
              <w:t>HBEL</w:t>
            </w:r>
            <w:r w:rsidRPr="00735C3F">
              <w:rPr>
                <w:rFonts w:ascii="宋体" w:eastAsia="宋体" w:hAnsi="宋体" w:cs="宋体" w:hint="eastAsia"/>
                <w:b/>
                <w:sz w:val="18"/>
              </w:rPr>
              <w:t>模板</w:t>
            </w:r>
          </w:p>
        </w:tc>
      </w:tr>
    </w:tbl>
    <w:p w14:paraId="10A2FE65" w14:textId="4A5A0A40" w:rsidR="0026097E" w:rsidRPr="00797A26" w:rsidRDefault="00735C3F">
      <w:pPr>
        <w:spacing w:after="149" w:line="259" w:lineRule="auto"/>
        <w:ind w:left="200" w:hanging="10"/>
        <w:jc w:val="left"/>
      </w:pPr>
      <w:r w:rsidRPr="00797A26">
        <w:t>X1.1</w:t>
      </w:r>
      <w:r w:rsidRPr="00797A26">
        <w:rPr>
          <w:rFonts w:ascii="宋体" w:eastAsia="宋体" w:hAnsi="宋体" w:cs="宋体" w:hint="eastAsia"/>
        </w:rPr>
        <w:t>参见表</w:t>
      </w:r>
      <w:r w:rsidRPr="00797A26">
        <w:t>X1.1-X1.5</w:t>
      </w:r>
      <w:r w:rsidR="00284695" w:rsidRPr="00797A26">
        <w:t>.</w:t>
      </w:r>
    </w:p>
    <w:p w14:paraId="16621FCA" w14:textId="77777777" w:rsidR="00735C3F" w:rsidRPr="00797A26" w:rsidRDefault="00735C3F" w:rsidP="00735C3F">
      <w:pPr>
        <w:ind w:left="190" w:firstLine="0"/>
      </w:pPr>
      <w:r w:rsidRPr="00797A26">
        <w:t>X1.2</w:t>
      </w:r>
      <w:r w:rsidRPr="00797A26">
        <w:rPr>
          <w:rFonts w:ascii="宋体" w:eastAsia="宋体" w:hAnsi="宋体" w:cs="宋体" w:hint="eastAsia"/>
        </w:rPr>
        <w:t>行动模式（</w:t>
      </w:r>
      <w:proofErr w:type="spellStart"/>
      <w:r w:rsidRPr="00797A26">
        <w:t>MoA</w:t>
      </w:r>
      <w:proofErr w:type="spellEnd"/>
      <w:r w:rsidRPr="00797A26">
        <w:rPr>
          <w:rFonts w:ascii="宋体" w:eastAsia="宋体" w:hAnsi="宋体" w:cs="宋体" w:hint="eastAsia"/>
        </w:rPr>
        <w:t>）</w:t>
      </w:r>
    </w:p>
    <w:p w14:paraId="4D6A3C88" w14:textId="77777777" w:rsidR="00735C3F" w:rsidRPr="00797A26" w:rsidRDefault="00735C3F" w:rsidP="00735C3F">
      <w:pPr>
        <w:ind w:left="190" w:firstLine="0"/>
      </w:pPr>
      <w:r w:rsidRPr="00797A26">
        <w:t>X1.2.1</w:t>
      </w:r>
      <w:r w:rsidRPr="00797A26">
        <w:rPr>
          <w:rFonts w:ascii="宋体" w:eastAsia="宋体" w:hAnsi="宋体" w:cs="宋体" w:hint="eastAsia"/>
        </w:rPr>
        <w:t>原料药的</w:t>
      </w:r>
      <w:proofErr w:type="spellStart"/>
      <w:r w:rsidRPr="00797A26">
        <w:t>MoA</w:t>
      </w:r>
      <w:proofErr w:type="spellEnd"/>
      <w:r w:rsidRPr="00797A26">
        <w:rPr>
          <w:rFonts w:ascii="宋体" w:eastAsia="宋体" w:hAnsi="宋体" w:cs="宋体" w:hint="eastAsia"/>
        </w:rPr>
        <w:t>。</w:t>
      </w:r>
    </w:p>
    <w:p w14:paraId="7FA1176D" w14:textId="77777777" w:rsidR="00735C3F" w:rsidRPr="00797A26" w:rsidRDefault="00735C3F" w:rsidP="00735C3F">
      <w:pPr>
        <w:ind w:left="190" w:firstLine="0"/>
      </w:pPr>
      <w:r w:rsidRPr="00797A26">
        <w:t>X1.2.2</w:t>
      </w:r>
      <w:r w:rsidRPr="00797A26">
        <w:rPr>
          <w:rFonts w:ascii="宋体" w:eastAsia="宋体" w:hAnsi="宋体" w:cs="宋体" w:hint="eastAsia"/>
        </w:rPr>
        <w:t>与类似物质的比较。</w:t>
      </w:r>
    </w:p>
    <w:p w14:paraId="620CB19F" w14:textId="77777777" w:rsidR="00735C3F" w:rsidRPr="00797A26" w:rsidRDefault="00735C3F" w:rsidP="00735C3F">
      <w:pPr>
        <w:ind w:left="190" w:firstLine="0"/>
      </w:pPr>
      <w:r w:rsidRPr="00797A26">
        <w:t>X1.3</w:t>
      </w:r>
      <w:r w:rsidRPr="00797A26">
        <w:rPr>
          <w:rFonts w:ascii="宋体" w:eastAsia="宋体" w:hAnsi="宋体" w:cs="宋体" w:hint="eastAsia"/>
        </w:rPr>
        <w:t>非临床安全性数据</w:t>
      </w:r>
    </w:p>
    <w:p w14:paraId="1C0718E0" w14:textId="77777777" w:rsidR="00735C3F" w:rsidRPr="00797A26" w:rsidRDefault="00735C3F" w:rsidP="00735C3F">
      <w:pPr>
        <w:ind w:left="190" w:firstLine="0"/>
      </w:pPr>
      <w:r w:rsidRPr="00797A26">
        <w:t>X1.3.1</w:t>
      </w:r>
      <w:r w:rsidRPr="00797A26">
        <w:rPr>
          <w:rFonts w:ascii="宋体" w:eastAsia="宋体" w:hAnsi="宋体" w:cs="宋体" w:hint="eastAsia"/>
        </w:rPr>
        <w:t>非临床药代动力学和代谢。</w:t>
      </w:r>
    </w:p>
    <w:p w14:paraId="5752035E" w14:textId="77777777" w:rsidR="00735C3F" w:rsidRPr="00797A26" w:rsidRDefault="00735C3F" w:rsidP="00735C3F">
      <w:pPr>
        <w:ind w:left="190" w:firstLine="0"/>
      </w:pPr>
      <w:r w:rsidRPr="00797A26">
        <w:t>X1.3.2</w:t>
      </w:r>
      <w:r w:rsidRPr="00797A26">
        <w:rPr>
          <w:rFonts w:ascii="宋体" w:eastAsia="宋体" w:hAnsi="宋体" w:cs="宋体" w:hint="eastAsia"/>
        </w:rPr>
        <w:t>单剂量毒性。</w:t>
      </w:r>
    </w:p>
    <w:p w14:paraId="00581D9F" w14:textId="77777777" w:rsidR="00735C3F" w:rsidRPr="00797A26" w:rsidRDefault="00735C3F" w:rsidP="00735C3F">
      <w:pPr>
        <w:ind w:left="190" w:firstLine="0"/>
      </w:pPr>
      <w:r w:rsidRPr="00797A26">
        <w:t>X1.3.3</w:t>
      </w:r>
      <w:r w:rsidRPr="00797A26">
        <w:rPr>
          <w:rFonts w:ascii="宋体" w:eastAsia="宋体" w:hAnsi="宋体" w:cs="宋体" w:hint="eastAsia"/>
        </w:rPr>
        <w:t>重复剂量毒性。</w:t>
      </w:r>
    </w:p>
    <w:p w14:paraId="4F750286" w14:textId="77777777" w:rsidR="00735C3F" w:rsidRPr="00797A26" w:rsidRDefault="00735C3F" w:rsidP="00735C3F">
      <w:pPr>
        <w:ind w:left="190" w:firstLine="0"/>
      </w:pPr>
      <w:r w:rsidRPr="00797A26">
        <w:t>X1.3.4</w:t>
      </w:r>
      <w:r w:rsidRPr="00797A26">
        <w:rPr>
          <w:rFonts w:ascii="宋体" w:eastAsia="宋体" w:hAnsi="宋体" w:cs="宋体" w:hint="eastAsia"/>
        </w:rPr>
        <w:t>遗传毒性和诱变性。</w:t>
      </w:r>
    </w:p>
    <w:p w14:paraId="56EEBD80" w14:textId="77777777" w:rsidR="00735C3F" w:rsidRPr="00797A26" w:rsidRDefault="00735C3F" w:rsidP="00735C3F">
      <w:pPr>
        <w:ind w:left="190" w:firstLine="0"/>
      </w:pPr>
      <w:r w:rsidRPr="00797A26">
        <w:t>X1.3.5</w:t>
      </w:r>
      <w:r w:rsidRPr="00797A26">
        <w:rPr>
          <w:rFonts w:ascii="宋体" w:eastAsia="宋体" w:hAnsi="宋体" w:cs="宋体" w:hint="eastAsia"/>
        </w:rPr>
        <w:t>致癌性。</w:t>
      </w:r>
    </w:p>
    <w:p w14:paraId="1FE8B22A" w14:textId="77777777" w:rsidR="00735C3F" w:rsidRPr="00797A26" w:rsidRDefault="00735C3F" w:rsidP="00735C3F">
      <w:pPr>
        <w:ind w:left="190" w:firstLine="0"/>
      </w:pPr>
      <w:r w:rsidRPr="00797A26">
        <w:t>X1.3.6</w:t>
      </w:r>
      <w:r w:rsidRPr="00797A26">
        <w:rPr>
          <w:rFonts w:ascii="宋体" w:eastAsia="宋体" w:hAnsi="宋体" w:cs="宋体" w:hint="eastAsia"/>
        </w:rPr>
        <w:t>生殖和发育毒性。</w:t>
      </w:r>
    </w:p>
    <w:p w14:paraId="3D07C6DB" w14:textId="77777777" w:rsidR="00735C3F" w:rsidRPr="00797A26" w:rsidRDefault="00735C3F" w:rsidP="00735C3F">
      <w:pPr>
        <w:ind w:left="190" w:firstLine="0"/>
      </w:pPr>
      <w:r w:rsidRPr="00797A26">
        <w:t>X1.3.7</w:t>
      </w:r>
      <w:r w:rsidRPr="00797A26">
        <w:rPr>
          <w:rFonts w:ascii="宋体" w:eastAsia="宋体" w:hAnsi="宋体" w:cs="宋体" w:hint="eastAsia"/>
        </w:rPr>
        <w:t>皮肤和眼睛刺激。</w:t>
      </w:r>
    </w:p>
    <w:p w14:paraId="6E6491FA" w14:textId="77777777" w:rsidR="00735C3F" w:rsidRPr="00797A26" w:rsidRDefault="00735C3F" w:rsidP="00735C3F">
      <w:pPr>
        <w:ind w:left="190" w:firstLine="0"/>
      </w:pPr>
      <w:r w:rsidRPr="00797A26">
        <w:t>X1.3.8</w:t>
      </w:r>
      <w:r w:rsidRPr="00797A26">
        <w:rPr>
          <w:rFonts w:ascii="宋体" w:eastAsia="宋体" w:hAnsi="宋体" w:cs="宋体" w:hint="eastAsia"/>
        </w:rPr>
        <w:t>免疫毒性和致敏性。</w:t>
      </w:r>
    </w:p>
    <w:p w14:paraId="23411C88" w14:textId="77777777" w:rsidR="00735C3F" w:rsidRPr="00797A26" w:rsidRDefault="00735C3F" w:rsidP="00735C3F">
      <w:pPr>
        <w:ind w:left="190" w:firstLine="0"/>
      </w:pPr>
      <w:r w:rsidRPr="00797A26">
        <w:t>X1.3.9</w:t>
      </w:r>
      <w:r w:rsidRPr="00797A26">
        <w:rPr>
          <w:rFonts w:ascii="宋体" w:eastAsia="宋体" w:hAnsi="宋体" w:cs="宋体" w:hint="eastAsia"/>
        </w:rPr>
        <w:t>安全药理学。</w:t>
      </w:r>
    </w:p>
    <w:p w14:paraId="13F058DD" w14:textId="77777777" w:rsidR="00735C3F" w:rsidRPr="00797A26" w:rsidRDefault="00735C3F" w:rsidP="00735C3F">
      <w:pPr>
        <w:ind w:left="190" w:firstLine="0"/>
      </w:pPr>
      <w:r w:rsidRPr="00797A26">
        <w:t>X1.4</w:t>
      </w:r>
      <w:r w:rsidRPr="00797A26">
        <w:rPr>
          <w:rFonts w:ascii="宋体" w:eastAsia="宋体" w:hAnsi="宋体" w:cs="宋体" w:hint="eastAsia"/>
        </w:rPr>
        <w:t>临床资料</w:t>
      </w:r>
    </w:p>
    <w:p w14:paraId="068DC665" w14:textId="77777777" w:rsidR="00735C3F" w:rsidRPr="00797A26" w:rsidRDefault="00735C3F" w:rsidP="00735C3F">
      <w:pPr>
        <w:ind w:left="190" w:firstLine="0"/>
      </w:pPr>
      <w:r w:rsidRPr="00797A26">
        <w:t>X1.4.1</w:t>
      </w:r>
      <w:r w:rsidRPr="00797A26">
        <w:rPr>
          <w:rFonts w:ascii="宋体" w:eastAsia="宋体" w:hAnsi="宋体" w:cs="宋体" w:hint="eastAsia"/>
        </w:rPr>
        <w:t>治疗剂量：</w:t>
      </w:r>
    </w:p>
    <w:p w14:paraId="0800B556" w14:textId="77777777" w:rsidR="00735C3F" w:rsidRPr="00797A26" w:rsidRDefault="00735C3F" w:rsidP="00735C3F">
      <w:pPr>
        <w:ind w:left="190" w:firstLine="0"/>
      </w:pPr>
      <w:r w:rsidRPr="00797A26">
        <w:t>X1.4.1.1</w:t>
      </w:r>
      <w:r w:rsidRPr="00797A26">
        <w:rPr>
          <w:rFonts w:ascii="宋体" w:eastAsia="宋体" w:hAnsi="宋体" w:cs="宋体" w:hint="eastAsia"/>
        </w:rPr>
        <w:t>最低药理活性剂量</w:t>
      </w:r>
    </w:p>
    <w:p w14:paraId="1E3950E7" w14:textId="77777777" w:rsidR="00735C3F" w:rsidRPr="00797A26" w:rsidRDefault="00735C3F" w:rsidP="00735C3F">
      <w:pPr>
        <w:ind w:left="190" w:firstLine="0"/>
      </w:pPr>
      <w:r w:rsidRPr="00797A26">
        <w:t>X1.4.1.2</w:t>
      </w:r>
      <w:proofErr w:type="gramStart"/>
      <w:r w:rsidRPr="00797A26">
        <w:rPr>
          <w:rFonts w:ascii="宋体" w:eastAsia="宋体" w:hAnsi="宋体" w:cs="宋体" w:hint="eastAsia"/>
        </w:rPr>
        <w:t>最小日</w:t>
      </w:r>
      <w:proofErr w:type="gramEnd"/>
      <w:r w:rsidRPr="00797A26">
        <w:rPr>
          <w:rFonts w:ascii="宋体" w:eastAsia="宋体" w:hAnsi="宋体" w:cs="宋体" w:hint="eastAsia"/>
        </w:rPr>
        <w:t>剂量和</w:t>
      </w:r>
      <w:r w:rsidRPr="00797A26">
        <w:t>X1.4.1.3</w:t>
      </w:r>
      <w:r w:rsidRPr="00797A26">
        <w:rPr>
          <w:rFonts w:ascii="宋体" w:eastAsia="宋体" w:hAnsi="宋体" w:cs="宋体" w:hint="eastAsia"/>
        </w:rPr>
        <w:t>最大日剂量。</w:t>
      </w:r>
    </w:p>
    <w:p w14:paraId="17E16B49" w14:textId="77777777" w:rsidR="00735C3F" w:rsidRPr="00797A26" w:rsidRDefault="00735C3F" w:rsidP="00735C3F">
      <w:pPr>
        <w:ind w:left="190" w:firstLine="0"/>
      </w:pPr>
      <w:r w:rsidRPr="00797A26">
        <w:t>X1.4.2</w:t>
      </w:r>
      <w:r w:rsidRPr="00797A26">
        <w:rPr>
          <w:rFonts w:ascii="宋体" w:eastAsia="宋体" w:hAnsi="宋体" w:cs="宋体" w:hint="eastAsia"/>
        </w:rPr>
        <w:t>临床药代动力学和代谢。</w:t>
      </w:r>
    </w:p>
    <w:p w14:paraId="3DDDA04B" w14:textId="77777777" w:rsidR="00735C3F" w:rsidRPr="00797A26" w:rsidRDefault="00735C3F" w:rsidP="00735C3F">
      <w:pPr>
        <w:ind w:left="190" w:firstLine="0"/>
      </w:pPr>
      <w:r w:rsidRPr="00797A26">
        <w:t>X1.4.3</w:t>
      </w:r>
      <w:r w:rsidRPr="00797A26">
        <w:rPr>
          <w:rFonts w:ascii="宋体" w:eastAsia="宋体" w:hAnsi="宋体" w:cs="宋体" w:hint="eastAsia"/>
        </w:rPr>
        <w:t>副作用。</w:t>
      </w:r>
    </w:p>
    <w:p w14:paraId="7A5B2FBD" w14:textId="77777777" w:rsidR="00735C3F" w:rsidRPr="00797A26" w:rsidRDefault="00735C3F" w:rsidP="00735C3F">
      <w:pPr>
        <w:ind w:left="190" w:firstLine="0"/>
      </w:pPr>
      <w:r w:rsidRPr="00797A26">
        <w:t>X1.4.4</w:t>
      </w:r>
      <w:r w:rsidRPr="00797A26">
        <w:rPr>
          <w:rFonts w:ascii="宋体" w:eastAsia="宋体" w:hAnsi="宋体" w:cs="宋体" w:hint="eastAsia"/>
        </w:rPr>
        <w:t>注意事项（敏感亚群）。</w:t>
      </w:r>
    </w:p>
    <w:p w14:paraId="17436557" w14:textId="77777777" w:rsidR="00735C3F" w:rsidRPr="00797A26" w:rsidRDefault="00735C3F" w:rsidP="00735C3F">
      <w:pPr>
        <w:ind w:left="190" w:firstLine="0"/>
      </w:pPr>
      <w:r w:rsidRPr="00797A26">
        <w:t>X1.5</w:t>
      </w:r>
      <w:r w:rsidRPr="00797A26">
        <w:rPr>
          <w:rFonts w:ascii="宋体" w:eastAsia="宋体" w:hAnsi="宋体" w:cs="宋体" w:hint="eastAsia"/>
        </w:rPr>
        <w:t>健康危害评估和数据差距评估</w:t>
      </w:r>
    </w:p>
    <w:p w14:paraId="0F9381DE" w14:textId="77777777" w:rsidR="00735C3F" w:rsidRPr="00797A26" w:rsidRDefault="00735C3F" w:rsidP="00735C3F">
      <w:pPr>
        <w:ind w:left="190" w:firstLine="0"/>
      </w:pPr>
      <w:r w:rsidRPr="00797A26">
        <w:t>X1.6 HBEL</w:t>
      </w:r>
      <w:r w:rsidRPr="00797A26">
        <w:rPr>
          <w:rFonts w:ascii="宋体" w:eastAsia="宋体" w:hAnsi="宋体" w:cs="宋体" w:hint="eastAsia"/>
        </w:rPr>
        <w:t>的计算</w:t>
      </w:r>
    </w:p>
    <w:p w14:paraId="28E9CB29" w14:textId="77777777" w:rsidR="00735C3F" w:rsidRPr="00797A26" w:rsidRDefault="00735C3F" w:rsidP="00735C3F">
      <w:pPr>
        <w:ind w:left="190" w:firstLine="0"/>
      </w:pPr>
      <w:r w:rsidRPr="00797A26">
        <w:t>X1.6.1 HBEL</w:t>
      </w:r>
      <w:r w:rsidRPr="00797A26">
        <w:rPr>
          <w:rFonts w:ascii="宋体" w:eastAsia="宋体" w:hAnsi="宋体" w:cs="宋体" w:hint="eastAsia"/>
        </w:rPr>
        <w:t>的计算方法</w:t>
      </w:r>
      <w:r w:rsidRPr="00797A26">
        <w:t>-</w:t>
      </w:r>
      <w:r w:rsidRPr="00797A26">
        <w:rPr>
          <w:rFonts w:ascii="宋体" w:eastAsia="宋体" w:hAnsi="宋体" w:cs="宋体" w:hint="eastAsia"/>
        </w:rPr>
        <w:t>应使用专业判断来确定要使用多少</w:t>
      </w:r>
      <w:proofErr w:type="spellStart"/>
      <w:r w:rsidRPr="00797A26">
        <w:t>PoD</w:t>
      </w:r>
      <w:proofErr w:type="spellEnd"/>
      <w:r w:rsidRPr="00797A26">
        <w:rPr>
          <w:rFonts w:ascii="宋体" w:eastAsia="宋体" w:hAnsi="宋体" w:cs="宋体" w:hint="eastAsia"/>
        </w:rPr>
        <w:t>来计算适当的</w:t>
      </w:r>
      <w:r w:rsidRPr="00797A26">
        <w:t>HBEL</w:t>
      </w:r>
      <w:r w:rsidRPr="00797A26">
        <w:rPr>
          <w:rFonts w:ascii="宋体" w:eastAsia="宋体" w:hAnsi="宋体" w:cs="宋体" w:hint="eastAsia"/>
        </w:rPr>
        <w:t>。请参阅表</w:t>
      </w:r>
      <w:r w:rsidRPr="00797A26">
        <w:t>X1.6</w:t>
      </w:r>
      <w:r w:rsidRPr="00797A26">
        <w:rPr>
          <w:rFonts w:ascii="宋体" w:eastAsia="宋体" w:hAnsi="宋体" w:cs="宋体" w:hint="eastAsia"/>
        </w:rPr>
        <w:t>。</w:t>
      </w:r>
    </w:p>
    <w:p w14:paraId="2C23AF80" w14:textId="77777777" w:rsidR="00735C3F" w:rsidRPr="00797A26" w:rsidRDefault="00735C3F" w:rsidP="00735C3F">
      <w:pPr>
        <w:ind w:left="190" w:firstLine="0"/>
      </w:pPr>
      <w:r w:rsidRPr="00797A26">
        <w:rPr>
          <w:rFonts w:ascii="宋体" w:eastAsia="宋体" w:hAnsi="宋体" w:cs="宋体" w:hint="eastAsia"/>
        </w:rPr>
        <w:t>注</w:t>
      </w:r>
      <w:r w:rsidRPr="00797A26">
        <w:t>X1.1</w:t>
      </w:r>
      <w:proofErr w:type="gramStart"/>
      <w:r w:rsidRPr="00797A26">
        <w:t>—</w:t>
      </w:r>
      <w:r w:rsidRPr="00797A26">
        <w:rPr>
          <w:rFonts w:ascii="宋体" w:eastAsia="宋体" w:hAnsi="宋体" w:cs="宋体" w:hint="eastAsia"/>
        </w:rPr>
        <w:t>当应用</w:t>
      </w:r>
      <w:proofErr w:type="gramEnd"/>
      <w:r w:rsidRPr="00797A26">
        <w:rPr>
          <w:rFonts w:ascii="宋体" w:eastAsia="宋体" w:hAnsi="宋体" w:cs="宋体" w:hint="eastAsia"/>
        </w:rPr>
        <w:t>于任何特定物质的复合因子大于</w:t>
      </w:r>
      <w:r w:rsidRPr="00797A26">
        <w:t>5000</w:t>
      </w:r>
      <w:r w:rsidRPr="00797A26">
        <w:rPr>
          <w:rFonts w:ascii="宋体" w:eastAsia="宋体" w:hAnsi="宋体" w:cs="宋体" w:hint="eastAsia"/>
        </w:rPr>
        <w:t>时，</w:t>
      </w:r>
      <w:r w:rsidRPr="00797A26">
        <w:t>HBEL</w:t>
      </w:r>
      <w:r w:rsidRPr="00797A26">
        <w:rPr>
          <w:rFonts w:ascii="宋体" w:eastAsia="宋体" w:hAnsi="宋体" w:cs="宋体" w:hint="eastAsia"/>
        </w:rPr>
        <w:t>计算可能被认为是不可靠的（</w:t>
      </w:r>
      <w:r w:rsidRPr="00797A26">
        <w:t>107</w:t>
      </w:r>
      <w:r w:rsidRPr="00797A26">
        <w:rPr>
          <w:rFonts w:ascii="宋体" w:eastAsia="宋体" w:hAnsi="宋体" w:cs="宋体" w:hint="eastAsia"/>
        </w:rPr>
        <w:t>）。这与美国</w:t>
      </w:r>
      <w:r w:rsidRPr="00797A26">
        <w:t>EPA</w:t>
      </w:r>
      <w:r w:rsidRPr="00797A26">
        <w:rPr>
          <w:rFonts w:ascii="宋体" w:eastAsia="宋体" w:hAnsi="宋体" w:cs="宋体" w:hint="eastAsia"/>
        </w:rPr>
        <w:t>建议的口服</w:t>
      </w:r>
      <w:proofErr w:type="spellStart"/>
      <w:r w:rsidRPr="00797A26">
        <w:t>RfD</w:t>
      </w:r>
      <w:proofErr w:type="spellEnd"/>
      <w:r w:rsidRPr="00797A26">
        <w:rPr>
          <w:rFonts w:ascii="宋体" w:eastAsia="宋体" w:hAnsi="宋体" w:cs="宋体" w:hint="eastAsia"/>
        </w:rPr>
        <w:t>的最大综合不确定度因子</w:t>
      </w:r>
      <w:r w:rsidRPr="00797A26">
        <w:t>10000</w:t>
      </w:r>
      <w:r w:rsidRPr="00797A26">
        <w:rPr>
          <w:rFonts w:ascii="宋体" w:eastAsia="宋体" w:hAnsi="宋体" w:cs="宋体" w:hint="eastAsia"/>
        </w:rPr>
        <w:t>相反（</w:t>
      </w:r>
      <w:r w:rsidRPr="00797A26">
        <w:t>41</w:t>
      </w:r>
      <w:r w:rsidRPr="00797A26">
        <w:rPr>
          <w:rFonts w:ascii="宋体" w:eastAsia="宋体" w:hAnsi="宋体" w:cs="宋体" w:hint="eastAsia"/>
        </w:rPr>
        <w:t>）。</w:t>
      </w:r>
    </w:p>
    <w:p w14:paraId="70107F8A" w14:textId="77777777" w:rsidR="00735C3F" w:rsidRPr="00797A26" w:rsidRDefault="00735C3F" w:rsidP="00735C3F">
      <w:pPr>
        <w:ind w:left="190" w:firstLine="0"/>
      </w:pPr>
      <w:r w:rsidRPr="00797A26">
        <w:t>X1.7</w:t>
      </w:r>
      <w:r w:rsidRPr="00797A26">
        <w:rPr>
          <w:rFonts w:ascii="宋体" w:eastAsia="宋体" w:hAnsi="宋体" w:cs="宋体" w:hint="eastAsia"/>
        </w:rPr>
        <w:t>选定</w:t>
      </w:r>
      <w:r w:rsidRPr="00797A26">
        <w:t>HBEL</w:t>
      </w:r>
      <w:r w:rsidRPr="00797A26">
        <w:rPr>
          <w:rFonts w:ascii="宋体" w:eastAsia="宋体" w:hAnsi="宋体" w:cs="宋体" w:hint="eastAsia"/>
        </w:rPr>
        <w:t>的理由</w:t>
      </w:r>
    </w:p>
    <w:p w14:paraId="43F9BA42" w14:textId="77777777" w:rsidR="00735C3F" w:rsidRPr="00797A26" w:rsidRDefault="00735C3F" w:rsidP="00735C3F">
      <w:pPr>
        <w:ind w:left="190" w:firstLine="0"/>
      </w:pPr>
      <w:r w:rsidRPr="00797A26">
        <w:t>X1.8</w:t>
      </w:r>
      <w:r w:rsidRPr="00797A26">
        <w:rPr>
          <w:rFonts w:ascii="宋体" w:eastAsia="宋体" w:hAnsi="宋体" w:cs="宋体" w:hint="eastAsia"/>
        </w:rPr>
        <w:t>结论</w:t>
      </w:r>
    </w:p>
    <w:p w14:paraId="3BBC8ABB" w14:textId="5E6B49D2" w:rsidR="0026097E" w:rsidRPr="00797A26" w:rsidRDefault="00735C3F" w:rsidP="00735C3F">
      <w:pPr>
        <w:ind w:left="190" w:firstLine="0"/>
      </w:pPr>
      <w:r w:rsidRPr="00797A26">
        <w:t>X1.8.1</w:t>
      </w:r>
      <w:r w:rsidRPr="00797A26">
        <w:rPr>
          <w:rFonts w:ascii="宋体" w:eastAsia="宋体" w:hAnsi="宋体" w:cs="宋体" w:hint="eastAsia"/>
        </w:rPr>
        <w:t>参见表</w:t>
      </w:r>
      <w:r w:rsidRPr="00797A26">
        <w:t>X1.7</w:t>
      </w:r>
      <w:r w:rsidR="00284695" w:rsidRPr="00797A26">
        <w:t>.</w:t>
      </w:r>
    </w:p>
    <w:p w14:paraId="4B230D29" w14:textId="77777777" w:rsidR="0026097E" w:rsidRDefault="0026097E">
      <w:pPr>
        <w:sectPr w:rsidR="0026097E">
          <w:type w:val="continuous"/>
          <w:pgSz w:w="11674" w:h="15625"/>
          <w:pgMar w:top="1192" w:right="628" w:bottom="975" w:left="629" w:header="720" w:footer="720" w:gutter="0"/>
          <w:cols w:num="2" w:space="359"/>
        </w:sectPr>
      </w:pPr>
    </w:p>
    <w:p w14:paraId="5728FEB7" w14:textId="31CAAC7D" w:rsidR="0026097E" w:rsidRDefault="00735C3F" w:rsidP="00735C3F">
      <w:pPr>
        <w:spacing w:after="64" w:line="259" w:lineRule="auto"/>
        <w:ind w:firstLineChars="2600" w:firstLine="4176"/>
        <w:jc w:val="left"/>
      </w:pPr>
      <w:r w:rsidRPr="00735C3F">
        <w:rPr>
          <w:rFonts w:ascii="宋体" w:eastAsia="宋体" w:hAnsi="宋体" w:cs="宋体" w:hint="eastAsia"/>
          <w:b/>
          <w:sz w:val="16"/>
        </w:rPr>
        <w:t>表</w:t>
      </w:r>
      <w:r w:rsidRPr="00735C3F">
        <w:rPr>
          <w:rFonts w:ascii="Arial" w:eastAsia="Arial" w:hAnsi="Arial" w:cs="Arial"/>
          <w:b/>
          <w:sz w:val="16"/>
        </w:rPr>
        <w:t>X1.1 HBEL</w:t>
      </w:r>
      <w:r w:rsidRPr="00735C3F">
        <w:rPr>
          <w:rFonts w:ascii="宋体" w:eastAsia="宋体" w:hAnsi="宋体" w:cs="宋体" w:hint="eastAsia"/>
          <w:b/>
          <w:sz w:val="16"/>
        </w:rPr>
        <w:t>专论</w:t>
      </w:r>
      <w:r w:rsidR="00284695">
        <w:rPr>
          <w:rFonts w:ascii="Calibri" w:eastAsia="Calibri" w:hAnsi="Calibri" w:cs="Calibri"/>
          <w:noProof/>
          <w:color w:val="000000"/>
          <w:sz w:val="22"/>
        </w:rPr>
        <mc:AlternateContent>
          <mc:Choice Requires="wpg">
            <w:drawing>
              <wp:inline distT="0" distB="0" distL="0" distR="0" wp14:anchorId="4FD59992" wp14:editId="50714A1C">
                <wp:extent cx="6614783" cy="12675"/>
                <wp:effectExtent l="0" t="0" r="0" b="0"/>
                <wp:docPr id="69010" name="Group 69010"/>
                <wp:cNvGraphicFramePr/>
                <a:graphic xmlns:a="http://schemas.openxmlformats.org/drawingml/2006/main">
                  <a:graphicData uri="http://schemas.microsoft.com/office/word/2010/wordprocessingGroup">
                    <wpg:wgp>
                      <wpg:cNvGrpSpPr/>
                      <wpg:grpSpPr>
                        <a:xfrm>
                          <a:off x="0" y="0"/>
                          <a:ext cx="6614783" cy="12675"/>
                          <a:chOff x="0" y="0"/>
                          <a:chExt cx="6614783" cy="12675"/>
                        </a:xfrm>
                      </wpg:grpSpPr>
                      <wps:wsp>
                        <wps:cNvPr id="4363" name="Shape 4363"/>
                        <wps:cNvSpPr/>
                        <wps:spPr>
                          <a:xfrm>
                            <a:off x="0" y="0"/>
                            <a:ext cx="6614783" cy="0"/>
                          </a:xfrm>
                          <a:custGeom>
                            <a:avLst/>
                            <a:gdLst/>
                            <a:ahLst/>
                            <a:cxnLst/>
                            <a:rect l="0" t="0" r="0" b="0"/>
                            <a:pathLst>
                              <a:path w="6614783">
                                <a:moveTo>
                                  <a:pt x="0" y="0"/>
                                </a:moveTo>
                                <a:lnTo>
                                  <a:pt x="6614783" y="0"/>
                                </a:lnTo>
                              </a:path>
                            </a:pathLst>
                          </a:custGeom>
                          <a:ln w="12675"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010" style="width:520.849pt;height:0.998pt;mso-position-horizontal-relative:char;mso-position-vertical-relative:line" coordsize="66147,126">
                <v:shape id="Shape 4363" style="position:absolute;width:66147;height:0;left:0;top:0;" coordsize="6614783,0" path="m0,0l6614783,0">
                  <v:stroke weight="0.998pt" endcap="flat" joinstyle="miter" miterlimit="10" on="true" color="#221f1f"/>
                  <v:fill on="false" color="#000000" opacity="0"/>
                </v:shape>
              </v:group>
            </w:pict>
          </mc:Fallback>
        </mc:AlternateContent>
      </w:r>
    </w:p>
    <w:tbl>
      <w:tblPr>
        <w:tblStyle w:val="TableGrid"/>
        <w:tblW w:w="10497" w:type="dxa"/>
        <w:tblInd w:w="0" w:type="dxa"/>
        <w:tblLook w:val="04A0" w:firstRow="1" w:lastRow="0" w:firstColumn="1" w:lastColumn="0" w:noHBand="0" w:noVBand="1"/>
      </w:tblPr>
      <w:tblGrid>
        <w:gridCol w:w="8505"/>
        <w:gridCol w:w="1992"/>
      </w:tblGrid>
      <w:tr w:rsidR="0026097E" w:rsidRPr="0074743A" w14:paraId="3BDF2C0F" w14:textId="77777777" w:rsidTr="0074743A">
        <w:trPr>
          <w:trHeight w:val="365"/>
        </w:trPr>
        <w:tc>
          <w:tcPr>
            <w:tcW w:w="8505" w:type="dxa"/>
            <w:tcBorders>
              <w:top w:val="nil"/>
              <w:left w:val="nil"/>
              <w:bottom w:val="nil"/>
              <w:right w:val="nil"/>
            </w:tcBorders>
          </w:tcPr>
          <w:p w14:paraId="544724D4" w14:textId="77777777" w:rsidR="00735C3F" w:rsidRPr="0074743A" w:rsidRDefault="00735C3F" w:rsidP="00735C3F">
            <w:pPr>
              <w:spacing w:after="0" w:line="259" w:lineRule="auto"/>
              <w:ind w:firstLine="0"/>
              <w:jc w:val="left"/>
              <w:rPr>
                <w:rFonts w:ascii="Arial" w:eastAsia="Arial" w:hAnsi="Arial" w:cs="Arial"/>
                <w:szCs w:val="20"/>
              </w:rPr>
            </w:pPr>
            <w:r w:rsidRPr="0074743A">
              <w:rPr>
                <w:rFonts w:ascii="宋体" w:eastAsia="宋体" w:hAnsi="宋体" w:cs="宋体" w:hint="eastAsia"/>
                <w:szCs w:val="20"/>
              </w:rPr>
              <w:t>物质名称</w:t>
            </w:r>
          </w:p>
          <w:p w14:paraId="28DF4B6F" w14:textId="485CB866" w:rsidR="0026097E" w:rsidRPr="0074743A" w:rsidRDefault="00735C3F" w:rsidP="00735C3F">
            <w:pPr>
              <w:spacing w:after="0" w:line="259" w:lineRule="auto"/>
              <w:ind w:firstLine="0"/>
              <w:jc w:val="left"/>
              <w:rPr>
                <w:szCs w:val="20"/>
              </w:rPr>
            </w:pPr>
            <w:r w:rsidRPr="0074743A">
              <w:rPr>
                <w:rFonts w:ascii="Arial" w:eastAsia="Arial" w:hAnsi="Arial" w:cs="Arial"/>
                <w:szCs w:val="20"/>
              </w:rPr>
              <w:t>CAS</w:t>
            </w:r>
            <w:r w:rsidRPr="0074743A">
              <w:rPr>
                <w:rFonts w:ascii="宋体" w:eastAsia="宋体" w:hAnsi="宋体" w:cs="宋体" w:hint="eastAsia"/>
                <w:szCs w:val="20"/>
              </w:rPr>
              <w:t>号</w:t>
            </w:r>
          </w:p>
        </w:tc>
        <w:tc>
          <w:tcPr>
            <w:tcW w:w="1992" w:type="dxa"/>
            <w:tcBorders>
              <w:top w:val="nil"/>
              <w:left w:val="nil"/>
              <w:bottom w:val="nil"/>
              <w:right w:val="nil"/>
            </w:tcBorders>
          </w:tcPr>
          <w:p w14:paraId="195DBB17" w14:textId="77777777" w:rsidR="0026097E" w:rsidRPr="0074743A" w:rsidRDefault="0026097E">
            <w:pPr>
              <w:spacing w:after="160" w:line="259" w:lineRule="auto"/>
              <w:ind w:firstLine="0"/>
              <w:jc w:val="left"/>
              <w:rPr>
                <w:szCs w:val="20"/>
              </w:rPr>
            </w:pPr>
          </w:p>
        </w:tc>
      </w:tr>
      <w:tr w:rsidR="0026097E" w:rsidRPr="0074743A" w14:paraId="6FC72AB1" w14:textId="77777777" w:rsidTr="0074743A">
        <w:trPr>
          <w:trHeight w:val="205"/>
        </w:trPr>
        <w:tc>
          <w:tcPr>
            <w:tcW w:w="8505" w:type="dxa"/>
            <w:tcBorders>
              <w:top w:val="nil"/>
              <w:left w:val="nil"/>
              <w:bottom w:val="nil"/>
              <w:right w:val="nil"/>
            </w:tcBorders>
          </w:tcPr>
          <w:p w14:paraId="7BAA18F5" w14:textId="48963F4C" w:rsidR="0026097E" w:rsidRPr="0074743A" w:rsidRDefault="00284695">
            <w:pPr>
              <w:spacing w:after="0" w:line="259" w:lineRule="auto"/>
              <w:ind w:firstLine="0"/>
              <w:jc w:val="left"/>
              <w:rPr>
                <w:szCs w:val="20"/>
              </w:rPr>
            </w:pPr>
            <w:r w:rsidRPr="0074743A">
              <w:rPr>
                <w:rFonts w:ascii="Arial" w:eastAsia="Arial" w:hAnsi="Arial" w:cs="Arial"/>
                <w:szCs w:val="20"/>
              </w:rPr>
              <w:t>HBEL</w:t>
            </w:r>
            <w:r w:rsidR="00735C3F" w:rsidRPr="0074743A">
              <w:rPr>
                <w:rFonts w:ascii="宋体" w:eastAsia="宋体" w:hAnsi="宋体" w:cs="宋体" w:hint="eastAsia"/>
                <w:szCs w:val="20"/>
              </w:rPr>
              <w:t>口服</w:t>
            </w:r>
          </w:p>
        </w:tc>
        <w:tc>
          <w:tcPr>
            <w:tcW w:w="1992" w:type="dxa"/>
            <w:tcBorders>
              <w:top w:val="nil"/>
              <w:left w:val="nil"/>
              <w:bottom w:val="nil"/>
              <w:right w:val="nil"/>
            </w:tcBorders>
          </w:tcPr>
          <w:p w14:paraId="478C6338" w14:textId="77777777" w:rsidR="0026097E" w:rsidRPr="0074743A" w:rsidRDefault="00284695">
            <w:pPr>
              <w:spacing w:after="0" w:line="259" w:lineRule="auto"/>
              <w:ind w:left="835" w:firstLine="0"/>
              <w:jc w:val="center"/>
              <w:rPr>
                <w:szCs w:val="20"/>
              </w:rPr>
            </w:pPr>
            <w:r w:rsidRPr="0074743A">
              <w:rPr>
                <w:rFonts w:ascii="Arial" w:eastAsia="Arial" w:hAnsi="Arial" w:cs="Arial"/>
                <w:szCs w:val="20"/>
              </w:rPr>
              <w:t>µg/day</w:t>
            </w:r>
          </w:p>
        </w:tc>
      </w:tr>
      <w:tr w:rsidR="0026097E" w:rsidRPr="0074743A" w14:paraId="62A4E0DF" w14:textId="77777777" w:rsidTr="0074743A">
        <w:trPr>
          <w:trHeight w:val="194"/>
        </w:trPr>
        <w:tc>
          <w:tcPr>
            <w:tcW w:w="8505" w:type="dxa"/>
            <w:tcBorders>
              <w:top w:val="nil"/>
              <w:left w:val="nil"/>
              <w:bottom w:val="nil"/>
              <w:right w:val="nil"/>
            </w:tcBorders>
          </w:tcPr>
          <w:p w14:paraId="46BDAFDA" w14:textId="77777777" w:rsidR="0026097E" w:rsidRPr="0074743A" w:rsidRDefault="00284695">
            <w:pPr>
              <w:spacing w:after="0" w:line="259" w:lineRule="auto"/>
              <w:ind w:firstLine="0"/>
              <w:jc w:val="left"/>
              <w:rPr>
                <w:szCs w:val="20"/>
              </w:rPr>
            </w:pPr>
            <w:r w:rsidRPr="0074743A">
              <w:rPr>
                <w:rFonts w:ascii="Arial" w:eastAsia="Arial" w:hAnsi="Arial" w:cs="Arial"/>
                <w:szCs w:val="20"/>
              </w:rPr>
              <w:t>HBEL</w:t>
            </w:r>
            <w:r w:rsidRPr="0074743A">
              <w:rPr>
                <w:rFonts w:ascii="Arial" w:eastAsia="Arial" w:hAnsi="Arial" w:cs="Arial"/>
                <w:szCs w:val="20"/>
                <w:vertAlign w:val="subscript"/>
              </w:rPr>
              <w:t>IV</w:t>
            </w:r>
          </w:p>
        </w:tc>
        <w:tc>
          <w:tcPr>
            <w:tcW w:w="1992" w:type="dxa"/>
            <w:tcBorders>
              <w:top w:val="nil"/>
              <w:left w:val="nil"/>
              <w:bottom w:val="nil"/>
              <w:right w:val="nil"/>
            </w:tcBorders>
          </w:tcPr>
          <w:p w14:paraId="7610193B" w14:textId="77777777" w:rsidR="0026097E" w:rsidRPr="0074743A" w:rsidRDefault="00284695">
            <w:pPr>
              <w:spacing w:after="0" w:line="259" w:lineRule="auto"/>
              <w:ind w:left="835" w:firstLine="0"/>
              <w:jc w:val="center"/>
              <w:rPr>
                <w:szCs w:val="20"/>
              </w:rPr>
            </w:pPr>
            <w:r w:rsidRPr="0074743A">
              <w:rPr>
                <w:rFonts w:ascii="Arial" w:eastAsia="Arial" w:hAnsi="Arial" w:cs="Arial"/>
                <w:szCs w:val="20"/>
              </w:rPr>
              <w:t>µg/day</w:t>
            </w:r>
          </w:p>
        </w:tc>
      </w:tr>
      <w:tr w:rsidR="0026097E" w:rsidRPr="0074743A" w14:paraId="2803A03F" w14:textId="77777777" w:rsidTr="0074743A">
        <w:trPr>
          <w:trHeight w:val="378"/>
        </w:trPr>
        <w:tc>
          <w:tcPr>
            <w:tcW w:w="8505" w:type="dxa"/>
            <w:tcBorders>
              <w:top w:val="nil"/>
              <w:left w:val="nil"/>
              <w:bottom w:val="nil"/>
              <w:right w:val="nil"/>
            </w:tcBorders>
          </w:tcPr>
          <w:p w14:paraId="6A53AF57" w14:textId="4CD3E648" w:rsidR="0026097E" w:rsidRPr="0074743A" w:rsidRDefault="00284695">
            <w:pPr>
              <w:spacing w:after="0" w:line="259" w:lineRule="auto"/>
              <w:ind w:firstLine="0"/>
              <w:jc w:val="left"/>
              <w:rPr>
                <w:szCs w:val="20"/>
              </w:rPr>
            </w:pPr>
            <w:r w:rsidRPr="0074743A">
              <w:rPr>
                <w:rFonts w:ascii="Arial" w:eastAsia="Arial" w:hAnsi="Arial" w:cs="Arial"/>
                <w:szCs w:val="20"/>
              </w:rPr>
              <w:t>HBEL</w:t>
            </w:r>
            <w:r w:rsidR="00735C3F" w:rsidRPr="0074743A">
              <w:rPr>
                <w:rFonts w:ascii="宋体" w:eastAsia="宋体" w:hAnsi="宋体" w:cs="宋体" w:hint="eastAsia"/>
                <w:szCs w:val="20"/>
              </w:rPr>
              <w:t>途径</w:t>
            </w:r>
          </w:p>
          <w:p w14:paraId="277A7EC3" w14:textId="07EFB4D5" w:rsidR="0026097E" w:rsidRPr="0074743A" w:rsidRDefault="00735C3F">
            <w:pPr>
              <w:spacing w:after="0" w:line="259" w:lineRule="auto"/>
              <w:ind w:firstLine="0"/>
              <w:jc w:val="left"/>
              <w:rPr>
                <w:szCs w:val="20"/>
              </w:rPr>
            </w:pPr>
            <w:r w:rsidRPr="0074743A">
              <w:rPr>
                <w:rFonts w:ascii="宋体" w:eastAsia="宋体" w:hAnsi="宋体" w:cs="宋体" w:hint="eastAsia"/>
                <w:szCs w:val="20"/>
              </w:rPr>
              <w:t>关键影响</w:t>
            </w:r>
          </w:p>
        </w:tc>
        <w:tc>
          <w:tcPr>
            <w:tcW w:w="1992" w:type="dxa"/>
            <w:tcBorders>
              <w:top w:val="nil"/>
              <w:left w:val="nil"/>
              <w:bottom w:val="nil"/>
              <w:right w:val="nil"/>
            </w:tcBorders>
          </w:tcPr>
          <w:p w14:paraId="215DD6BC" w14:textId="77777777" w:rsidR="0026097E" w:rsidRPr="0074743A" w:rsidRDefault="00284695">
            <w:pPr>
              <w:spacing w:after="0" w:line="259" w:lineRule="auto"/>
              <w:ind w:left="835" w:firstLine="0"/>
              <w:jc w:val="center"/>
              <w:rPr>
                <w:szCs w:val="20"/>
              </w:rPr>
            </w:pPr>
            <w:r w:rsidRPr="0074743A">
              <w:rPr>
                <w:rFonts w:ascii="Arial" w:eastAsia="Arial" w:hAnsi="Arial" w:cs="Arial"/>
                <w:szCs w:val="20"/>
              </w:rPr>
              <w:t>µg/day</w:t>
            </w:r>
          </w:p>
        </w:tc>
      </w:tr>
      <w:tr w:rsidR="0026097E" w:rsidRPr="0074743A" w14:paraId="463E8A86" w14:textId="77777777" w:rsidTr="0074743A">
        <w:trPr>
          <w:trHeight w:val="584"/>
        </w:trPr>
        <w:tc>
          <w:tcPr>
            <w:tcW w:w="8505" w:type="dxa"/>
            <w:tcBorders>
              <w:top w:val="nil"/>
              <w:left w:val="nil"/>
              <w:bottom w:val="nil"/>
              <w:right w:val="nil"/>
            </w:tcBorders>
          </w:tcPr>
          <w:p w14:paraId="2E276256" w14:textId="469EBE93" w:rsidR="0026097E" w:rsidRPr="0074743A" w:rsidRDefault="00735C3F">
            <w:pPr>
              <w:spacing w:after="169" w:line="259" w:lineRule="auto"/>
              <w:ind w:firstLine="0"/>
              <w:jc w:val="left"/>
              <w:rPr>
                <w:szCs w:val="20"/>
              </w:rPr>
            </w:pPr>
            <w:r w:rsidRPr="0074743A">
              <w:rPr>
                <w:rFonts w:ascii="宋体" w:eastAsia="宋体" w:hAnsi="宋体" w:cs="宋体" w:hint="eastAsia"/>
                <w:szCs w:val="20"/>
              </w:rPr>
              <w:t>健康危害</w:t>
            </w:r>
          </w:p>
          <w:p w14:paraId="37F441BA" w14:textId="1E1AD0BC" w:rsidR="0026097E" w:rsidRPr="0074743A" w:rsidRDefault="00735C3F">
            <w:pPr>
              <w:spacing w:after="0" w:line="259" w:lineRule="auto"/>
              <w:ind w:firstLine="0"/>
              <w:jc w:val="left"/>
              <w:rPr>
                <w:szCs w:val="20"/>
              </w:rPr>
            </w:pPr>
            <w:r w:rsidRPr="0074743A">
              <w:rPr>
                <w:rFonts w:ascii="宋体" w:eastAsia="宋体" w:hAnsi="宋体" w:cs="宋体" w:hint="eastAsia"/>
                <w:szCs w:val="20"/>
              </w:rPr>
              <w:t>专家姓名和签名</w:t>
            </w:r>
          </w:p>
        </w:tc>
        <w:tc>
          <w:tcPr>
            <w:tcW w:w="1992" w:type="dxa"/>
            <w:tcBorders>
              <w:top w:val="nil"/>
              <w:left w:val="nil"/>
              <w:bottom w:val="nil"/>
              <w:right w:val="nil"/>
            </w:tcBorders>
          </w:tcPr>
          <w:p w14:paraId="308A5729" w14:textId="356BC0C3" w:rsidR="0026097E" w:rsidRPr="0074743A" w:rsidRDefault="0074743A">
            <w:pPr>
              <w:spacing w:after="0" w:line="259" w:lineRule="auto"/>
              <w:ind w:left="936" w:firstLine="0"/>
              <w:jc w:val="center"/>
              <w:rPr>
                <w:iCs/>
                <w:szCs w:val="20"/>
              </w:rPr>
            </w:pPr>
            <w:r w:rsidRPr="0074743A">
              <w:rPr>
                <w:rFonts w:ascii="宋体" w:eastAsia="宋体" w:hAnsi="宋体" w:cs="宋体" w:hint="eastAsia"/>
                <w:iCs/>
                <w:szCs w:val="20"/>
              </w:rPr>
              <w:t>可选的</w:t>
            </w:r>
          </w:p>
        </w:tc>
      </w:tr>
      <w:tr w:rsidR="0026097E" w:rsidRPr="0074743A" w14:paraId="05F1831D" w14:textId="77777777" w:rsidTr="0074743A">
        <w:trPr>
          <w:trHeight w:val="194"/>
        </w:trPr>
        <w:tc>
          <w:tcPr>
            <w:tcW w:w="8505" w:type="dxa"/>
            <w:tcBorders>
              <w:top w:val="nil"/>
              <w:left w:val="nil"/>
              <w:bottom w:val="nil"/>
              <w:right w:val="nil"/>
            </w:tcBorders>
          </w:tcPr>
          <w:p w14:paraId="68550D38" w14:textId="07B4D084" w:rsidR="0026097E" w:rsidRPr="0074743A" w:rsidRDefault="00735C3F">
            <w:pPr>
              <w:spacing w:after="0" w:line="259" w:lineRule="auto"/>
              <w:ind w:firstLine="0"/>
              <w:jc w:val="left"/>
              <w:rPr>
                <w:szCs w:val="20"/>
              </w:rPr>
            </w:pPr>
            <w:r w:rsidRPr="0074743A">
              <w:rPr>
                <w:rFonts w:ascii="宋体" w:eastAsia="宋体" w:hAnsi="宋体" w:cs="宋体" w:hint="eastAsia"/>
                <w:szCs w:val="20"/>
              </w:rPr>
              <w:t>评估审查日期</w:t>
            </w:r>
          </w:p>
        </w:tc>
        <w:tc>
          <w:tcPr>
            <w:tcW w:w="1992" w:type="dxa"/>
            <w:tcBorders>
              <w:top w:val="nil"/>
              <w:left w:val="nil"/>
              <w:bottom w:val="nil"/>
              <w:right w:val="nil"/>
            </w:tcBorders>
          </w:tcPr>
          <w:p w14:paraId="21E915AE" w14:textId="77777777" w:rsidR="0026097E" w:rsidRPr="0074743A" w:rsidRDefault="00284695" w:rsidP="0074743A">
            <w:pPr>
              <w:spacing w:after="0" w:line="259" w:lineRule="auto"/>
              <w:ind w:right="400" w:firstLine="0"/>
              <w:jc w:val="right"/>
              <w:rPr>
                <w:szCs w:val="20"/>
              </w:rPr>
            </w:pPr>
            <w:r w:rsidRPr="0074743A">
              <w:rPr>
                <w:rFonts w:ascii="Arial" w:eastAsia="Arial" w:hAnsi="Arial" w:cs="Arial"/>
                <w:szCs w:val="20"/>
              </w:rPr>
              <w:t>DD-MMM-YYYY</w:t>
            </w:r>
          </w:p>
        </w:tc>
      </w:tr>
      <w:tr w:rsidR="0026097E" w:rsidRPr="0074743A" w14:paraId="7A106C3F" w14:textId="77777777" w:rsidTr="00EC1A52">
        <w:trPr>
          <w:trHeight w:val="321"/>
        </w:trPr>
        <w:tc>
          <w:tcPr>
            <w:tcW w:w="8505" w:type="dxa"/>
            <w:tcBorders>
              <w:top w:val="nil"/>
              <w:left w:val="nil"/>
              <w:bottom w:val="nil"/>
              <w:right w:val="nil"/>
            </w:tcBorders>
          </w:tcPr>
          <w:p w14:paraId="1D3FAD47" w14:textId="2F0CB5B6" w:rsidR="0026097E" w:rsidRPr="0074743A" w:rsidRDefault="00735C3F">
            <w:pPr>
              <w:spacing w:after="0" w:line="259" w:lineRule="auto"/>
              <w:ind w:firstLine="0"/>
              <w:jc w:val="left"/>
              <w:rPr>
                <w:szCs w:val="20"/>
              </w:rPr>
            </w:pPr>
            <w:r w:rsidRPr="0074743A">
              <w:rPr>
                <w:rFonts w:ascii="宋体" w:eastAsia="宋体" w:hAnsi="宋体" w:cs="宋体" w:hint="eastAsia"/>
                <w:szCs w:val="20"/>
              </w:rPr>
              <w:t>文件版本</w:t>
            </w:r>
          </w:p>
        </w:tc>
        <w:tc>
          <w:tcPr>
            <w:tcW w:w="1992" w:type="dxa"/>
            <w:tcBorders>
              <w:top w:val="nil"/>
              <w:left w:val="nil"/>
              <w:bottom w:val="nil"/>
              <w:right w:val="nil"/>
            </w:tcBorders>
          </w:tcPr>
          <w:p w14:paraId="2EE74A0C" w14:textId="77777777" w:rsidR="0026097E" w:rsidRPr="0074743A" w:rsidRDefault="00284695">
            <w:pPr>
              <w:spacing w:after="0" w:line="259" w:lineRule="auto"/>
              <w:ind w:left="587" w:firstLine="0"/>
              <w:jc w:val="center"/>
              <w:rPr>
                <w:szCs w:val="20"/>
              </w:rPr>
            </w:pPr>
            <w:r w:rsidRPr="0074743A">
              <w:rPr>
                <w:rFonts w:ascii="Arial" w:eastAsia="Arial" w:hAnsi="Arial" w:cs="Arial"/>
                <w:szCs w:val="20"/>
              </w:rPr>
              <w:t>V1</w:t>
            </w:r>
          </w:p>
        </w:tc>
      </w:tr>
    </w:tbl>
    <w:p w14:paraId="6315AE70" w14:textId="77777777" w:rsidR="0026097E" w:rsidRPr="0074743A" w:rsidRDefault="00284695">
      <w:pPr>
        <w:spacing w:after="0" w:line="259" w:lineRule="auto"/>
        <w:ind w:firstLine="0"/>
        <w:jc w:val="left"/>
        <w:rPr>
          <w:szCs w:val="20"/>
        </w:rPr>
      </w:pPr>
      <w:r w:rsidRPr="0074743A">
        <w:rPr>
          <w:rFonts w:ascii="Calibri" w:eastAsia="Calibri" w:hAnsi="Calibri" w:cs="Calibri"/>
          <w:noProof/>
          <w:color w:val="000000"/>
          <w:szCs w:val="20"/>
        </w:rPr>
        <mc:AlternateContent>
          <mc:Choice Requires="wpg">
            <w:drawing>
              <wp:inline distT="0" distB="0" distL="0" distR="0" wp14:anchorId="2534E65F" wp14:editId="797687F3">
                <wp:extent cx="6614783" cy="12675"/>
                <wp:effectExtent l="0" t="0" r="0" b="0"/>
                <wp:docPr id="69011" name="Group 69011"/>
                <wp:cNvGraphicFramePr/>
                <a:graphic xmlns:a="http://schemas.openxmlformats.org/drawingml/2006/main">
                  <a:graphicData uri="http://schemas.microsoft.com/office/word/2010/wordprocessingGroup">
                    <wpg:wgp>
                      <wpg:cNvGrpSpPr/>
                      <wpg:grpSpPr>
                        <a:xfrm>
                          <a:off x="0" y="0"/>
                          <a:ext cx="6614783" cy="12675"/>
                          <a:chOff x="0" y="0"/>
                          <a:chExt cx="6614783" cy="12675"/>
                        </a:xfrm>
                      </wpg:grpSpPr>
                      <wps:wsp>
                        <wps:cNvPr id="4364" name="Shape 4364"/>
                        <wps:cNvSpPr/>
                        <wps:spPr>
                          <a:xfrm>
                            <a:off x="0" y="0"/>
                            <a:ext cx="6614783" cy="0"/>
                          </a:xfrm>
                          <a:custGeom>
                            <a:avLst/>
                            <a:gdLst/>
                            <a:ahLst/>
                            <a:cxnLst/>
                            <a:rect l="0" t="0" r="0" b="0"/>
                            <a:pathLst>
                              <a:path w="6614783">
                                <a:moveTo>
                                  <a:pt x="0" y="0"/>
                                </a:moveTo>
                                <a:lnTo>
                                  <a:pt x="6614783" y="0"/>
                                </a:lnTo>
                              </a:path>
                            </a:pathLst>
                          </a:custGeom>
                          <a:ln w="12675"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011" style="width:520.849pt;height:0.998pt;mso-position-horizontal-relative:char;mso-position-vertical-relative:line" coordsize="66147,126">
                <v:shape id="Shape 4364" style="position:absolute;width:66147;height:0;left:0;top:0;" coordsize="6614783,0" path="m0,0l6614783,0">
                  <v:stroke weight="0.998pt" endcap="flat" joinstyle="miter" miterlimit="10" on="true" color="#221f1f"/>
                  <v:fill on="false" color="#000000" opacity="0"/>
                </v:shape>
              </v:group>
            </w:pict>
          </mc:Fallback>
        </mc:AlternateContent>
      </w:r>
    </w:p>
    <w:p w14:paraId="51D1DAC6" w14:textId="4A9A917B" w:rsidR="0026097E" w:rsidRPr="0074743A" w:rsidRDefault="00735C3F">
      <w:pPr>
        <w:spacing w:after="0" w:line="259" w:lineRule="auto"/>
        <w:ind w:left="4378" w:hanging="10"/>
        <w:jc w:val="left"/>
        <w:rPr>
          <w:szCs w:val="20"/>
        </w:rPr>
      </w:pPr>
      <w:r w:rsidRPr="0074743A">
        <w:rPr>
          <w:rFonts w:ascii="宋体" w:eastAsia="宋体" w:hAnsi="宋体" w:cs="宋体" w:hint="eastAsia"/>
          <w:b/>
          <w:szCs w:val="20"/>
        </w:rPr>
        <w:t>表</w:t>
      </w:r>
      <w:r w:rsidRPr="0074743A">
        <w:rPr>
          <w:rFonts w:ascii="Arial" w:eastAsia="Arial" w:hAnsi="Arial" w:cs="Arial"/>
          <w:b/>
          <w:szCs w:val="20"/>
        </w:rPr>
        <w:t>X1.2</w:t>
      </w:r>
      <w:r w:rsidRPr="0074743A">
        <w:rPr>
          <w:rFonts w:ascii="宋体" w:eastAsia="宋体" w:hAnsi="宋体" w:cs="宋体" w:hint="eastAsia"/>
          <w:b/>
          <w:szCs w:val="20"/>
        </w:rPr>
        <w:t>摘要</w:t>
      </w:r>
    </w:p>
    <w:tbl>
      <w:tblPr>
        <w:tblStyle w:val="TableGrid"/>
        <w:tblW w:w="10417" w:type="dxa"/>
        <w:tblInd w:w="0" w:type="dxa"/>
        <w:tblCellMar>
          <w:top w:w="30" w:type="dxa"/>
          <w:bottom w:w="11" w:type="dxa"/>
        </w:tblCellMar>
        <w:tblLook w:val="04A0" w:firstRow="1" w:lastRow="0" w:firstColumn="1" w:lastColumn="0" w:noHBand="0" w:noVBand="1"/>
      </w:tblPr>
      <w:tblGrid>
        <w:gridCol w:w="3544"/>
        <w:gridCol w:w="3827"/>
        <w:gridCol w:w="1098"/>
        <w:gridCol w:w="1948"/>
      </w:tblGrid>
      <w:tr w:rsidR="0026097E" w:rsidRPr="0074743A" w14:paraId="2C2399D2" w14:textId="77777777" w:rsidTr="0074743A">
        <w:trPr>
          <w:trHeight w:val="1770"/>
        </w:trPr>
        <w:tc>
          <w:tcPr>
            <w:tcW w:w="3544" w:type="dxa"/>
            <w:tcBorders>
              <w:top w:val="single" w:sz="8" w:space="0" w:color="221F1F"/>
              <w:left w:val="nil"/>
              <w:bottom w:val="single" w:sz="8" w:space="0" w:color="221F1F"/>
              <w:right w:val="nil"/>
            </w:tcBorders>
          </w:tcPr>
          <w:p w14:paraId="78B53F2F" w14:textId="77777777" w:rsidR="00735C3F" w:rsidRPr="0074743A" w:rsidRDefault="00735C3F" w:rsidP="00735C3F">
            <w:pPr>
              <w:spacing w:after="0" w:line="259" w:lineRule="auto"/>
              <w:ind w:firstLine="0"/>
              <w:jc w:val="left"/>
              <w:rPr>
                <w:rFonts w:ascii="Arial" w:eastAsia="Arial" w:hAnsi="Arial" w:cs="Arial"/>
                <w:szCs w:val="20"/>
              </w:rPr>
            </w:pPr>
            <w:r w:rsidRPr="0074743A">
              <w:rPr>
                <w:rFonts w:ascii="宋体" w:eastAsia="宋体" w:hAnsi="宋体" w:cs="宋体" w:hint="eastAsia"/>
                <w:szCs w:val="20"/>
              </w:rPr>
              <w:lastRenderedPageBreak/>
              <w:t>适应症</w:t>
            </w:r>
          </w:p>
          <w:p w14:paraId="5C45F23F" w14:textId="77777777" w:rsidR="00735C3F" w:rsidRPr="0074743A" w:rsidRDefault="00735C3F" w:rsidP="00735C3F">
            <w:pPr>
              <w:spacing w:after="0" w:line="259" w:lineRule="auto"/>
              <w:ind w:firstLine="0"/>
              <w:jc w:val="left"/>
              <w:rPr>
                <w:rFonts w:ascii="Arial" w:eastAsia="Arial" w:hAnsi="Arial" w:cs="Arial"/>
                <w:szCs w:val="20"/>
              </w:rPr>
            </w:pPr>
            <w:r w:rsidRPr="0074743A">
              <w:rPr>
                <w:rFonts w:ascii="宋体" w:eastAsia="宋体" w:hAnsi="宋体" w:cs="宋体" w:hint="eastAsia"/>
                <w:szCs w:val="20"/>
              </w:rPr>
              <w:t>确定的危害</w:t>
            </w:r>
          </w:p>
          <w:p w14:paraId="026B449D" w14:textId="77777777" w:rsidR="00735C3F" w:rsidRPr="0074743A" w:rsidRDefault="00735C3F" w:rsidP="00735C3F">
            <w:pPr>
              <w:spacing w:after="0" w:line="259" w:lineRule="auto"/>
              <w:ind w:firstLine="0"/>
              <w:jc w:val="left"/>
              <w:rPr>
                <w:rFonts w:ascii="Arial" w:eastAsia="Arial" w:hAnsi="Arial" w:cs="Arial"/>
                <w:szCs w:val="20"/>
              </w:rPr>
            </w:pPr>
            <w:r w:rsidRPr="0074743A">
              <w:rPr>
                <w:rFonts w:ascii="宋体" w:eastAsia="宋体" w:hAnsi="宋体" w:cs="宋体" w:hint="eastAsia"/>
                <w:szCs w:val="20"/>
              </w:rPr>
              <w:t>急性影响</w:t>
            </w:r>
          </w:p>
          <w:p w14:paraId="6833F9D3" w14:textId="77777777" w:rsidR="00735C3F" w:rsidRPr="0074743A" w:rsidRDefault="00735C3F" w:rsidP="00735C3F">
            <w:pPr>
              <w:spacing w:after="0" w:line="259" w:lineRule="auto"/>
              <w:ind w:firstLine="0"/>
              <w:jc w:val="left"/>
              <w:rPr>
                <w:rFonts w:ascii="Arial" w:eastAsia="Arial" w:hAnsi="Arial" w:cs="Arial"/>
                <w:szCs w:val="20"/>
              </w:rPr>
            </w:pPr>
            <w:r w:rsidRPr="0074743A">
              <w:rPr>
                <w:rFonts w:ascii="宋体" w:eastAsia="宋体" w:hAnsi="宋体" w:cs="宋体" w:hint="eastAsia"/>
                <w:szCs w:val="20"/>
              </w:rPr>
              <w:t>重复剂量效应</w:t>
            </w:r>
          </w:p>
          <w:p w14:paraId="2D03F5BD" w14:textId="77777777" w:rsidR="00735C3F" w:rsidRPr="0074743A" w:rsidRDefault="00735C3F" w:rsidP="00735C3F">
            <w:pPr>
              <w:spacing w:after="0" w:line="259" w:lineRule="auto"/>
              <w:ind w:firstLine="0"/>
              <w:jc w:val="left"/>
              <w:rPr>
                <w:rFonts w:ascii="Arial" w:eastAsia="Arial" w:hAnsi="Arial" w:cs="Arial"/>
                <w:szCs w:val="20"/>
              </w:rPr>
            </w:pPr>
            <w:r w:rsidRPr="0074743A">
              <w:rPr>
                <w:rFonts w:ascii="宋体" w:eastAsia="宋体" w:hAnsi="宋体" w:cs="宋体" w:hint="eastAsia"/>
                <w:szCs w:val="20"/>
              </w:rPr>
              <w:t>遗传毒性</w:t>
            </w:r>
          </w:p>
          <w:p w14:paraId="0BF7153A" w14:textId="77777777" w:rsidR="00735C3F" w:rsidRPr="0074743A" w:rsidRDefault="00735C3F" w:rsidP="00735C3F">
            <w:pPr>
              <w:spacing w:after="0" w:line="259" w:lineRule="auto"/>
              <w:ind w:firstLine="0"/>
              <w:jc w:val="left"/>
              <w:rPr>
                <w:rFonts w:ascii="Arial" w:eastAsia="Arial" w:hAnsi="Arial" w:cs="Arial"/>
                <w:szCs w:val="20"/>
              </w:rPr>
            </w:pPr>
            <w:r w:rsidRPr="0074743A">
              <w:rPr>
                <w:rFonts w:ascii="宋体" w:eastAsia="宋体" w:hAnsi="宋体" w:cs="宋体" w:hint="eastAsia"/>
                <w:szCs w:val="20"/>
              </w:rPr>
              <w:t>致癌性</w:t>
            </w:r>
          </w:p>
          <w:p w14:paraId="20F60313" w14:textId="77777777" w:rsidR="00735C3F" w:rsidRPr="0074743A" w:rsidRDefault="00735C3F" w:rsidP="00735C3F">
            <w:pPr>
              <w:spacing w:after="0" w:line="259" w:lineRule="auto"/>
              <w:ind w:firstLine="0"/>
              <w:jc w:val="left"/>
              <w:rPr>
                <w:rFonts w:ascii="Arial" w:eastAsia="Arial" w:hAnsi="Arial" w:cs="Arial"/>
                <w:szCs w:val="20"/>
              </w:rPr>
            </w:pPr>
            <w:r w:rsidRPr="0074743A">
              <w:rPr>
                <w:rFonts w:ascii="宋体" w:eastAsia="宋体" w:hAnsi="宋体" w:cs="宋体" w:hint="eastAsia"/>
                <w:szCs w:val="20"/>
              </w:rPr>
              <w:t>发育和生殖影响致敏和刺激性</w:t>
            </w:r>
          </w:p>
          <w:p w14:paraId="18E0C1CD" w14:textId="77777777" w:rsidR="00735C3F" w:rsidRPr="0074743A" w:rsidRDefault="00735C3F" w:rsidP="00735C3F">
            <w:pPr>
              <w:spacing w:after="0" w:line="259" w:lineRule="auto"/>
              <w:ind w:firstLine="0"/>
              <w:jc w:val="left"/>
              <w:rPr>
                <w:rFonts w:ascii="Arial" w:eastAsia="Arial" w:hAnsi="Arial" w:cs="Arial"/>
                <w:szCs w:val="20"/>
              </w:rPr>
            </w:pPr>
            <w:r w:rsidRPr="0074743A">
              <w:rPr>
                <w:rFonts w:ascii="宋体" w:eastAsia="宋体" w:hAnsi="宋体" w:cs="宋体" w:hint="eastAsia"/>
                <w:szCs w:val="20"/>
              </w:rPr>
              <w:t>药代动力学</w:t>
            </w:r>
            <w:r w:rsidRPr="0074743A">
              <w:rPr>
                <w:rFonts w:ascii="Arial" w:eastAsia="Arial" w:hAnsi="Arial" w:cs="Arial"/>
                <w:szCs w:val="20"/>
              </w:rPr>
              <w:t>/</w:t>
            </w:r>
            <w:r w:rsidRPr="0074743A">
              <w:rPr>
                <w:rFonts w:ascii="宋体" w:eastAsia="宋体" w:hAnsi="宋体" w:cs="宋体" w:hint="eastAsia"/>
                <w:szCs w:val="20"/>
              </w:rPr>
              <w:t>药效学性质治疗剂量</w:t>
            </w:r>
          </w:p>
          <w:p w14:paraId="2B08ED03" w14:textId="01779D68" w:rsidR="0026097E" w:rsidRPr="0074743A" w:rsidRDefault="00735C3F" w:rsidP="00735C3F">
            <w:pPr>
              <w:spacing w:after="0" w:line="259" w:lineRule="auto"/>
              <w:ind w:firstLine="0"/>
              <w:jc w:val="left"/>
              <w:rPr>
                <w:szCs w:val="20"/>
              </w:rPr>
            </w:pPr>
            <w:r w:rsidRPr="0074743A">
              <w:rPr>
                <w:rFonts w:ascii="宋体" w:eastAsia="宋体" w:hAnsi="宋体" w:cs="宋体" w:hint="eastAsia"/>
                <w:szCs w:val="20"/>
              </w:rPr>
              <w:t>敏感亚群</w:t>
            </w:r>
          </w:p>
        </w:tc>
        <w:tc>
          <w:tcPr>
            <w:tcW w:w="4925" w:type="dxa"/>
            <w:gridSpan w:val="2"/>
            <w:tcBorders>
              <w:top w:val="single" w:sz="8" w:space="0" w:color="221F1F"/>
              <w:left w:val="nil"/>
              <w:bottom w:val="single" w:sz="8" w:space="0" w:color="221F1F"/>
              <w:right w:val="nil"/>
            </w:tcBorders>
            <w:vAlign w:val="bottom"/>
          </w:tcPr>
          <w:p w14:paraId="700EEA0F" w14:textId="77777777" w:rsidR="00735C3F" w:rsidRPr="0074743A" w:rsidRDefault="00735C3F" w:rsidP="00735C3F">
            <w:pPr>
              <w:spacing w:after="0" w:line="259" w:lineRule="auto"/>
              <w:ind w:right="392" w:firstLine="0"/>
              <w:jc w:val="center"/>
              <w:rPr>
                <w:rFonts w:ascii="Arial" w:eastAsia="Arial" w:hAnsi="Arial" w:cs="Arial"/>
                <w:szCs w:val="20"/>
              </w:rPr>
            </w:pPr>
            <w:r w:rsidRPr="0074743A">
              <w:rPr>
                <w:rFonts w:ascii="宋体" w:eastAsia="宋体" w:hAnsi="宋体" w:cs="宋体" w:hint="eastAsia"/>
                <w:szCs w:val="20"/>
              </w:rPr>
              <w:t>最低每日剂量</w:t>
            </w:r>
          </w:p>
          <w:p w14:paraId="1A8AA12E" w14:textId="0736330B" w:rsidR="0026097E" w:rsidRPr="0074743A" w:rsidRDefault="00735C3F" w:rsidP="00735C3F">
            <w:pPr>
              <w:spacing w:after="0" w:line="259" w:lineRule="auto"/>
              <w:ind w:right="353" w:firstLine="0"/>
              <w:jc w:val="center"/>
              <w:rPr>
                <w:szCs w:val="20"/>
              </w:rPr>
            </w:pPr>
            <w:r w:rsidRPr="0074743A">
              <w:rPr>
                <w:rFonts w:ascii="宋体" w:eastAsia="宋体" w:hAnsi="宋体" w:cs="宋体" w:hint="eastAsia"/>
                <w:szCs w:val="20"/>
              </w:rPr>
              <w:t>每日最大剂量</w:t>
            </w:r>
          </w:p>
        </w:tc>
        <w:tc>
          <w:tcPr>
            <w:tcW w:w="1948" w:type="dxa"/>
            <w:tcBorders>
              <w:top w:val="single" w:sz="8" w:space="0" w:color="221F1F"/>
              <w:left w:val="nil"/>
              <w:bottom w:val="single" w:sz="8" w:space="0" w:color="221F1F"/>
              <w:right w:val="nil"/>
            </w:tcBorders>
          </w:tcPr>
          <w:p w14:paraId="53562DB0" w14:textId="77777777" w:rsidR="0026097E" w:rsidRPr="0074743A" w:rsidRDefault="0026097E">
            <w:pPr>
              <w:spacing w:after="160" w:line="259" w:lineRule="auto"/>
              <w:ind w:firstLine="0"/>
              <w:jc w:val="left"/>
              <w:rPr>
                <w:szCs w:val="20"/>
              </w:rPr>
            </w:pPr>
          </w:p>
        </w:tc>
      </w:tr>
      <w:tr w:rsidR="0026097E" w:rsidRPr="0074743A" w14:paraId="4CDF28B8" w14:textId="77777777" w:rsidTr="0074743A">
        <w:trPr>
          <w:trHeight w:val="362"/>
        </w:trPr>
        <w:tc>
          <w:tcPr>
            <w:tcW w:w="3544" w:type="dxa"/>
            <w:tcBorders>
              <w:top w:val="single" w:sz="8" w:space="0" w:color="221F1F"/>
              <w:left w:val="nil"/>
              <w:bottom w:val="single" w:sz="8" w:space="0" w:color="221F1F"/>
              <w:right w:val="nil"/>
            </w:tcBorders>
          </w:tcPr>
          <w:p w14:paraId="6CD0E1CE" w14:textId="77777777" w:rsidR="0026097E" w:rsidRPr="0074743A" w:rsidRDefault="0026097E">
            <w:pPr>
              <w:spacing w:after="160" w:line="259" w:lineRule="auto"/>
              <w:ind w:firstLine="0"/>
              <w:jc w:val="left"/>
              <w:rPr>
                <w:szCs w:val="20"/>
              </w:rPr>
            </w:pPr>
          </w:p>
        </w:tc>
        <w:tc>
          <w:tcPr>
            <w:tcW w:w="4925" w:type="dxa"/>
            <w:gridSpan w:val="2"/>
            <w:tcBorders>
              <w:top w:val="single" w:sz="8" w:space="0" w:color="221F1F"/>
              <w:left w:val="nil"/>
              <w:bottom w:val="single" w:sz="8" w:space="0" w:color="221F1F"/>
              <w:right w:val="nil"/>
            </w:tcBorders>
            <w:vAlign w:val="bottom"/>
          </w:tcPr>
          <w:p w14:paraId="247397D8" w14:textId="0F1DE5A5" w:rsidR="0026097E" w:rsidRPr="0074743A" w:rsidRDefault="00735C3F">
            <w:pPr>
              <w:spacing w:after="0" w:line="259" w:lineRule="auto"/>
              <w:ind w:firstLine="0"/>
              <w:jc w:val="left"/>
              <w:rPr>
                <w:szCs w:val="20"/>
              </w:rPr>
            </w:pPr>
            <w:r w:rsidRPr="0074743A">
              <w:rPr>
                <w:rFonts w:ascii="宋体" w:eastAsia="宋体" w:hAnsi="宋体" w:cs="宋体" w:hint="eastAsia"/>
                <w:b/>
                <w:szCs w:val="20"/>
              </w:rPr>
              <w:t>表</w:t>
            </w:r>
            <w:r w:rsidRPr="0074743A">
              <w:rPr>
                <w:rFonts w:ascii="Arial" w:eastAsia="Arial" w:hAnsi="Arial" w:cs="Arial"/>
                <w:b/>
                <w:szCs w:val="20"/>
              </w:rPr>
              <w:t xml:space="preserve">X1.3 </w:t>
            </w:r>
            <w:proofErr w:type="spellStart"/>
            <w:r w:rsidRPr="0074743A">
              <w:rPr>
                <w:rFonts w:ascii="Arial" w:eastAsia="Arial" w:hAnsi="Arial" w:cs="Arial"/>
                <w:b/>
                <w:szCs w:val="20"/>
              </w:rPr>
              <w:t>PoD</w:t>
            </w:r>
            <w:proofErr w:type="spellEnd"/>
            <w:r w:rsidRPr="0074743A">
              <w:rPr>
                <w:rFonts w:ascii="宋体" w:eastAsia="宋体" w:hAnsi="宋体" w:cs="宋体" w:hint="eastAsia"/>
                <w:b/>
                <w:szCs w:val="20"/>
              </w:rPr>
              <w:t>原理</w:t>
            </w:r>
            <w:r w:rsidR="00284695" w:rsidRPr="0074743A">
              <w:rPr>
                <w:rFonts w:ascii="Arial" w:eastAsia="Arial" w:hAnsi="Arial" w:cs="Arial"/>
                <w:i/>
                <w:szCs w:val="20"/>
                <w:vertAlign w:val="superscript"/>
              </w:rPr>
              <w:t>A</w:t>
            </w:r>
          </w:p>
        </w:tc>
        <w:tc>
          <w:tcPr>
            <w:tcW w:w="1948" w:type="dxa"/>
            <w:tcBorders>
              <w:top w:val="single" w:sz="8" w:space="0" w:color="221F1F"/>
              <w:left w:val="nil"/>
              <w:bottom w:val="single" w:sz="8" w:space="0" w:color="221F1F"/>
              <w:right w:val="nil"/>
            </w:tcBorders>
          </w:tcPr>
          <w:p w14:paraId="019504A0" w14:textId="77777777" w:rsidR="0026097E" w:rsidRPr="0074743A" w:rsidRDefault="0026097E">
            <w:pPr>
              <w:spacing w:after="160" w:line="259" w:lineRule="auto"/>
              <w:ind w:firstLine="0"/>
              <w:jc w:val="left"/>
              <w:rPr>
                <w:szCs w:val="20"/>
              </w:rPr>
            </w:pPr>
          </w:p>
        </w:tc>
      </w:tr>
      <w:tr w:rsidR="0026097E" w:rsidRPr="0074743A" w14:paraId="7708E8BF" w14:textId="77777777" w:rsidTr="0074743A">
        <w:trPr>
          <w:trHeight w:val="880"/>
        </w:trPr>
        <w:tc>
          <w:tcPr>
            <w:tcW w:w="3544" w:type="dxa"/>
            <w:tcBorders>
              <w:top w:val="single" w:sz="8" w:space="0" w:color="221F1F"/>
              <w:left w:val="nil"/>
              <w:bottom w:val="single" w:sz="4" w:space="0" w:color="221F1F"/>
              <w:right w:val="nil"/>
            </w:tcBorders>
          </w:tcPr>
          <w:p w14:paraId="2829F656" w14:textId="59766749" w:rsidR="0026097E" w:rsidRPr="0074743A" w:rsidRDefault="00284695">
            <w:pPr>
              <w:spacing w:after="0" w:line="259" w:lineRule="auto"/>
              <w:ind w:left="532" w:firstLine="0"/>
              <w:jc w:val="left"/>
              <w:rPr>
                <w:szCs w:val="20"/>
              </w:rPr>
            </w:pPr>
            <w:proofErr w:type="spellStart"/>
            <w:r w:rsidRPr="0074743A">
              <w:rPr>
                <w:rFonts w:ascii="Arial" w:eastAsia="Arial" w:hAnsi="Arial" w:cs="Arial"/>
                <w:szCs w:val="20"/>
              </w:rPr>
              <w:t>PoD</w:t>
            </w:r>
            <w:proofErr w:type="spellEnd"/>
            <w:r w:rsidRPr="0074743A">
              <w:rPr>
                <w:rFonts w:ascii="Arial" w:eastAsia="Arial" w:hAnsi="Arial" w:cs="Arial"/>
                <w:szCs w:val="20"/>
              </w:rPr>
              <w:t xml:space="preserve"> </w:t>
            </w:r>
            <w:r w:rsidR="00735C3F" w:rsidRPr="0074743A">
              <w:rPr>
                <w:rFonts w:ascii="宋体" w:eastAsia="宋体" w:hAnsi="宋体" w:cs="宋体" w:hint="eastAsia"/>
                <w:szCs w:val="20"/>
              </w:rPr>
              <w:t>原理</w:t>
            </w:r>
            <w:r w:rsidRPr="0074743A">
              <w:rPr>
                <w:rFonts w:ascii="Arial" w:eastAsia="Arial" w:hAnsi="Arial" w:cs="Arial"/>
                <w:szCs w:val="20"/>
              </w:rPr>
              <w:t>(s)</w:t>
            </w:r>
          </w:p>
        </w:tc>
        <w:tc>
          <w:tcPr>
            <w:tcW w:w="4925" w:type="dxa"/>
            <w:gridSpan w:val="2"/>
            <w:tcBorders>
              <w:top w:val="single" w:sz="8" w:space="0" w:color="221F1F"/>
              <w:left w:val="nil"/>
              <w:bottom w:val="single" w:sz="4" w:space="0" w:color="221F1F"/>
              <w:right w:val="nil"/>
            </w:tcBorders>
          </w:tcPr>
          <w:p w14:paraId="6CDBF7DD" w14:textId="2986FA66" w:rsidR="0026097E" w:rsidRPr="0074743A" w:rsidRDefault="00735C3F" w:rsidP="0074743A">
            <w:pPr>
              <w:spacing w:after="0" w:line="259" w:lineRule="auto"/>
              <w:ind w:left="58" w:firstLine="0"/>
              <w:jc w:val="center"/>
              <w:rPr>
                <w:szCs w:val="20"/>
              </w:rPr>
            </w:pPr>
            <w:r w:rsidRPr="0074743A">
              <w:rPr>
                <w:rFonts w:ascii="宋体" w:eastAsia="宋体" w:hAnsi="宋体" w:cs="宋体" w:hint="eastAsia"/>
                <w:szCs w:val="20"/>
              </w:rPr>
              <w:t>描述</w:t>
            </w:r>
            <w:proofErr w:type="spellStart"/>
            <w:r w:rsidRPr="0074743A">
              <w:rPr>
                <w:rFonts w:ascii="Arial" w:eastAsia="Arial" w:hAnsi="Arial" w:cs="Arial"/>
                <w:szCs w:val="20"/>
              </w:rPr>
              <w:t>PoD</w:t>
            </w:r>
            <w:proofErr w:type="spellEnd"/>
            <w:r w:rsidRPr="0074743A">
              <w:rPr>
                <w:rFonts w:ascii="宋体" w:eastAsia="宋体" w:hAnsi="宋体" w:cs="宋体" w:hint="eastAsia"/>
                <w:szCs w:val="20"/>
              </w:rPr>
              <w:t>，管理途径和价值</w:t>
            </w:r>
          </w:p>
        </w:tc>
        <w:tc>
          <w:tcPr>
            <w:tcW w:w="1948" w:type="dxa"/>
            <w:tcBorders>
              <w:top w:val="single" w:sz="8" w:space="0" w:color="221F1F"/>
              <w:left w:val="nil"/>
              <w:bottom w:val="single" w:sz="4" w:space="0" w:color="221F1F"/>
              <w:right w:val="nil"/>
            </w:tcBorders>
          </w:tcPr>
          <w:p w14:paraId="4DC0C315" w14:textId="77777777" w:rsidR="0026097E" w:rsidRPr="0074743A" w:rsidRDefault="0026097E">
            <w:pPr>
              <w:spacing w:after="160" w:line="259" w:lineRule="auto"/>
              <w:ind w:firstLine="0"/>
              <w:jc w:val="left"/>
              <w:rPr>
                <w:szCs w:val="20"/>
              </w:rPr>
            </w:pPr>
          </w:p>
        </w:tc>
      </w:tr>
      <w:tr w:rsidR="0026097E" w:rsidRPr="0074743A" w14:paraId="55AFC87B" w14:textId="77777777" w:rsidTr="0074743A">
        <w:trPr>
          <w:trHeight w:val="942"/>
        </w:trPr>
        <w:tc>
          <w:tcPr>
            <w:tcW w:w="3544" w:type="dxa"/>
            <w:tcBorders>
              <w:top w:val="single" w:sz="4" w:space="0" w:color="221F1F"/>
              <w:left w:val="nil"/>
              <w:bottom w:val="single" w:sz="4" w:space="0" w:color="221F1F"/>
              <w:right w:val="nil"/>
            </w:tcBorders>
          </w:tcPr>
          <w:p w14:paraId="2BD5EBB6" w14:textId="6A59D572" w:rsidR="0026097E" w:rsidRPr="0074743A" w:rsidRDefault="00735C3F">
            <w:pPr>
              <w:spacing w:after="0" w:line="259" w:lineRule="auto"/>
              <w:ind w:left="619" w:firstLine="0"/>
              <w:jc w:val="left"/>
              <w:rPr>
                <w:szCs w:val="20"/>
              </w:rPr>
            </w:pPr>
            <w:r w:rsidRPr="0074743A">
              <w:rPr>
                <w:rFonts w:ascii="宋体" w:eastAsia="宋体" w:hAnsi="宋体" w:cs="宋体" w:hint="eastAsia"/>
                <w:szCs w:val="20"/>
              </w:rPr>
              <w:t>关键影响</w:t>
            </w:r>
          </w:p>
        </w:tc>
        <w:tc>
          <w:tcPr>
            <w:tcW w:w="4925" w:type="dxa"/>
            <w:gridSpan w:val="2"/>
            <w:tcBorders>
              <w:top w:val="single" w:sz="4" w:space="0" w:color="221F1F"/>
              <w:left w:val="nil"/>
              <w:bottom w:val="single" w:sz="4" w:space="0" w:color="221F1F"/>
              <w:right w:val="nil"/>
            </w:tcBorders>
          </w:tcPr>
          <w:p w14:paraId="48C07690" w14:textId="62AFEB93" w:rsidR="0026097E" w:rsidRPr="0074743A" w:rsidRDefault="00735C3F" w:rsidP="0074743A">
            <w:pPr>
              <w:spacing w:after="0" w:line="259" w:lineRule="auto"/>
              <w:ind w:firstLine="0"/>
              <w:jc w:val="center"/>
              <w:rPr>
                <w:szCs w:val="20"/>
              </w:rPr>
            </w:pPr>
            <w:r w:rsidRPr="0074743A">
              <w:rPr>
                <w:rFonts w:ascii="宋体" w:eastAsia="宋体" w:hAnsi="宋体" w:cs="宋体" w:hint="eastAsia"/>
                <w:szCs w:val="20"/>
              </w:rPr>
              <w:t>描述物质的关键作用</w:t>
            </w:r>
          </w:p>
        </w:tc>
        <w:tc>
          <w:tcPr>
            <w:tcW w:w="1948" w:type="dxa"/>
            <w:tcBorders>
              <w:top w:val="single" w:sz="4" w:space="0" w:color="221F1F"/>
              <w:left w:val="nil"/>
              <w:bottom w:val="single" w:sz="4" w:space="0" w:color="221F1F"/>
              <w:right w:val="nil"/>
            </w:tcBorders>
          </w:tcPr>
          <w:p w14:paraId="1A915D2A" w14:textId="77777777" w:rsidR="0026097E" w:rsidRPr="0074743A" w:rsidRDefault="0026097E">
            <w:pPr>
              <w:spacing w:after="160" w:line="259" w:lineRule="auto"/>
              <w:ind w:firstLine="0"/>
              <w:jc w:val="left"/>
              <w:rPr>
                <w:szCs w:val="20"/>
              </w:rPr>
            </w:pPr>
          </w:p>
        </w:tc>
      </w:tr>
      <w:tr w:rsidR="0026097E" w:rsidRPr="0074743A" w14:paraId="198C8B1E" w14:textId="77777777" w:rsidTr="0074743A">
        <w:trPr>
          <w:trHeight w:val="231"/>
        </w:trPr>
        <w:tc>
          <w:tcPr>
            <w:tcW w:w="3544" w:type="dxa"/>
            <w:tcBorders>
              <w:top w:val="single" w:sz="4" w:space="0" w:color="221F1F"/>
              <w:left w:val="nil"/>
              <w:bottom w:val="single" w:sz="4" w:space="0" w:color="221F1F"/>
              <w:right w:val="nil"/>
            </w:tcBorders>
          </w:tcPr>
          <w:p w14:paraId="53AB07AD" w14:textId="77777777" w:rsidR="0026097E" w:rsidRPr="0074743A" w:rsidRDefault="00284695">
            <w:pPr>
              <w:spacing w:after="0" w:line="259" w:lineRule="auto"/>
              <w:ind w:left="1423" w:firstLine="0"/>
              <w:jc w:val="center"/>
              <w:rPr>
                <w:szCs w:val="20"/>
              </w:rPr>
            </w:pPr>
            <w:r w:rsidRPr="0074743A">
              <w:rPr>
                <w:rFonts w:ascii="Arial" w:eastAsia="Arial" w:hAnsi="Arial" w:cs="Arial"/>
                <w:szCs w:val="20"/>
              </w:rPr>
              <w:t>IV</w:t>
            </w:r>
          </w:p>
        </w:tc>
        <w:tc>
          <w:tcPr>
            <w:tcW w:w="3827" w:type="dxa"/>
            <w:tcBorders>
              <w:top w:val="single" w:sz="4" w:space="0" w:color="221F1F"/>
              <w:left w:val="nil"/>
              <w:bottom w:val="single" w:sz="4" w:space="0" w:color="221F1F"/>
              <w:right w:val="nil"/>
            </w:tcBorders>
          </w:tcPr>
          <w:p w14:paraId="63524E63" w14:textId="4E8A4EB4" w:rsidR="0026097E" w:rsidRPr="0074743A" w:rsidRDefault="00797A26">
            <w:pPr>
              <w:spacing w:after="0" w:line="259" w:lineRule="auto"/>
              <w:ind w:left="131" w:firstLine="0"/>
              <w:jc w:val="left"/>
              <w:rPr>
                <w:szCs w:val="20"/>
              </w:rPr>
            </w:pPr>
            <w:r w:rsidRPr="0074743A">
              <w:rPr>
                <w:rFonts w:ascii="宋体" w:eastAsia="宋体" w:hAnsi="宋体" w:cs="宋体" w:hint="eastAsia"/>
                <w:szCs w:val="20"/>
              </w:rPr>
              <w:t>口服</w:t>
            </w:r>
          </w:p>
        </w:tc>
        <w:tc>
          <w:tcPr>
            <w:tcW w:w="1098" w:type="dxa"/>
            <w:tcBorders>
              <w:top w:val="single" w:sz="4" w:space="0" w:color="221F1F"/>
              <w:left w:val="nil"/>
              <w:bottom w:val="single" w:sz="4" w:space="0" w:color="221F1F"/>
              <w:right w:val="nil"/>
            </w:tcBorders>
          </w:tcPr>
          <w:p w14:paraId="6796244C" w14:textId="1CC7C4DA" w:rsidR="0026097E" w:rsidRPr="0074743A" w:rsidRDefault="00735C3F">
            <w:pPr>
              <w:spacing w:after="0" w:line="259" w:lineRule="auto"/>
              <w:ind w:firstLine="0"/>
              <w:jc w:val="left"/>
              <w:rPr>
                <w:szCs w:val="20"/>
              </w:rPr>
            </w:pPr>
            <w:r w:rsidRPr="0074743A">
              <w:rPr>
                <w:rFonts w:ascii="宋体" w:eastAsia="宋体" w:hAnsi="宋体" w:cs="宋体" w:hint="eastAsia"/>
                <w:szCs w:val="20"/>
              </w:rPr>
              <w:t>其他途径</w:t>
            </w:r>
          </w:p>
        </w:tc>
        <w:tc>
          <w:tcPr>
            <w:tcW w:w="1948" w:type="dxa"/>
            <w:tcBorders>
              <w:top w:val="single" w:sz="4" w:space="0" w:color="221F1F"/>
              <w:left w:val="nil"/>
              <w:bottom w:val="single" w:sz="4" w:space="0" w:color="221F1F"/>
              <w:right w:val="nil"/>
            </w:tcBorders>
          </w:tcPr>
          <w:p w14:paraId="05FB6CE0" w14:textId="7DF2CFB0" w:rsidR="0026097E" w:rsidRPr="0074743A" w:rsidRDefault="00735C3F">
            <w:pPr>
              <w:spacing w:after="0" w:line="259" w:lineRule="auto"/>
              <w:ind w:left="68" w:firstLine="0"/>
              <w:jc w:val="left"/>
              <w:rPr>
                <w:szCs w:val="20"/>
              </w:rPr>
            </w:pPr>
            <w:r w:rsidRPr="0074743A">
              <w:rPr>
                <w:rFonts w:ascii="宋体" w:eastAsia="宋体" w:hAnsi="宋体" w:cs="宋体" w:hint="eastAsia"/>
                <w:szCs w:val="20"/>
              </w:rPr>
              <w:t>价值选择的理由</w:t>
            </w:r>
          </w:p>
        </w:tc>
      </w:tr>
      <w:tr w:rsidR="0026097E" w:rsidRPr="0074743A" w14:paraId="17F675E8" w14:textId="77777777" w:rsidTr="0074743A">
        <w:trPr>
          <w:trHeight w:val="1914"/>
        </w:trPr>
        <w:tc>
          <w:tcPr>
            <w:tcW w:w="3544" w:type="dxa"/>
            <w:tcBorders>
              <w:top w:val="single" w:sz="4" w:space="0" w:color="221F1F"/>
              <w:left w:val="nil"/>
              <w:bottom w:val="nil"/>
              <w:right w:val="nil"/>
            </w:tcBorders>
          </w:tcPr>
          <w:p w14:paraId="3FC1CB26" w14:textId="77777777" w:rsidR="0026097E" w:rsidRPr="0074743A" w:rsidRDefault="00284695">
            <w:pPr>
              <w:spacing w:after="0" w:line="259" w:lineRule="auto"/>
              <w:ind w:firstLine="0"/>
              <w:jc w:val="left"/>
              <w:rPr>
                <w:szCs w:val="20"/>
              </w:rPr>
            </w:pPr>
            <w:proofErr w:type="spellStart"/>
            <w:r w:rsidRPr="0074743A">
              <w:rPr>
                <w:rFonts w:ascii="Arial" w:eastAsia="Arial" w:hAnsi="Arial" w:cs="Arial"/>
                <w:szCs w:val="20"/>
              </w:rPr>
              <w:t>PoD</w:t>
            </w:r>
            <w:proofErr w:type="spellEnd"/>
          </w:p>
          <w:p w14:paraId="089B5510" w14:textId="0BFAFAAD" w:rsidR="0026097E" w:rsidRPr="0074743A" w:rsidRDefault="00284695">
            <w:pPr>
              <w:spacing w:after="0" w:line="259" w:lineRule="auto"/>
              <w:ind w:firstLine="0"/>
              <w:jc w:val="left"/>
              <w:rPr>
                <w:szCs w:val="20"/>
              </w:rPr>
            </w:pPr>
            <w:r w:rsidRPr="0074743A">
              <w:rPr>
                <w:rFonts w:ascii="Arial" w:eastAsia="Arial" w:hAnsi="Arial" w:cs="Arial"/>
                <w:szCs w:val="20"/>
              </w:rPr>
              <w:t>I</w:t>
            </w:r>
            <w:r w:rsidR="00797A26" w:rsidRPr="0074743A">
              <w:rPr>
                <w:rFonts w:ascii="宋体" w:eastAsia="宋体" w:hAnsi="宋体" w:cs="宋体" w:hint="eastAsia"/>
                <w:szCs w:val="20"/>
              </w:rPr>
              <w:t>种间变异</w:t>
            </w:r>
            <w:r w:rsidRPr="0074743A">
              <w:rPr>
                <w:rFonts w:ascii="Arial" w:eastAsia="Arial" w:hAnsi="Arial" w:cs="Arial"/>
                <w:szCs w:val="20"/>
              </w:rPr>
              <w:t>(F1)</w:t>
            </w:r>
          </w:p>
          <w:p w14:paraId="4A1AFBA3" w14:textId="6D43E8CF" w:rsidR="0026097E" w:rsidRPr="0074743A" w:rsidRDefault="0074743A">
            <w:pPr>
              <w:spacing w:after="0" w:line="259" w:lineRule="auto"/>
              <w:ind w:firstLine="0"/>
              <w:jc w:val="left"/>
              <w:rPr>
                <w:szCs w:val="20"/>
              </w:rPr>
            </w:pPr>
            <w:r w:rsidRPr="0074743A">
              <w:rPr>
                <w:rFonts w:ascii="宋体" w:eastAsia="宋体" w:hAnsi="宋体" w:cs="宋体" w:hint="eastAsia"/>
                <w:szCs w:val="20"/>
              </w:rPr>
              <w:t>种内变异</w:t>
            </w:r>
            <w:r w:rsidR="00284695" w:rsidRPr="0074743A">
              <w:rPr>
                <w:rFonts w:ascii="Arial" w:eastAsia="Arial" w:hAnsi="Arial" w:cs="Arial"/>
                <w:szCs w:val="20"/>
              </w:rPr>
              <w:t>(F2)</w:t>
            </w:r>
          </w:p>
          <w:p w14:paraId="0834783B" w14:textId="0FF1B085" w:rsidR="0026097E" w:rsidRPr="0074743A" w:rsidRDefault="00E44629">
            <w:pPr>
              <w:spacing w:after="0" w:line="259" w:lineRule="auto"/>
              <w:ind w:firstLine="0"/>
              <w:jc w:val="left"/>
              <w:rPr>
                <w:szCs w:val="20"/>
              </w:rPr>
            </w:pPr>
            <w:r w:rsidRPr="0074743A">
              <w:rPr>
                <w:rFonts w:ascii="宋体" w:eastAsia="宋体" w:hAnsi="宋体" w:cs="宋体" w:hint="eastAsia"/>
                <w:szCs w:val="20"/>
              </w:rPr>
              <w:t>曝光时间</w:t>
            </w:r>
            <w:r w:rsidR="00284695" w:rsidRPr="0074743A">
              <w:rPr>
                <w:rFonts w:ascii="Arial" w:eastAsia="Arial" w:hAnsi="Arial" w:cs="Arial"/>
                <w:szCs w:val="20"/>
              </w:rPr>
              <w:t xml:space="preserve"> (F3)</w:t>
            </w:r>
          </w:p>
          <w:p w14:paraId="5FF52501" w14:textId="55E05AB4" w:rsidR="0026097E" w:rsidRPr="0074743A" w:rsidRDefault="00E44629">
            <w:pPr>
              <w:spacing w:after="0" w:line="259" w:lineRule="auto"/>
              <w:ind w:firstLine="0"/>
              <w:jc w:val="left"/>
              <w:rPr>
                <w:szCs w:val="20"/>
              </w:rPr>
            </w:pPr>
            <w:r w:rsidRPr="0074743A">
              <w:rPr>
                <w:rFonts w:ascii="宋体" w:eastAsia="宋体" w:hAnsi="宋体" w:cs="宋体" w:hint="eastAsia"/>
                <w:szCs w:val="20"/>
              </w:rPr>
              <w:t>严重程度</w:t>
            </w:r>
            <w:r w:rsidR="00284695" w:rsidRPr="0074743A">
              <w:rPr>
                <w:rFonts w:ascii="Arial" w:eastAsia="Arial" w:hAnsi="Arial" w:cs="Arial"/>
                <w:szCs w:val="20"/>
              </w:rPr>
              <w:t xml:space="preserve"> (F4)</w:t>
            </w:r>
          </w:p>
          <w:p w14:paraId="5A9992B2" w14:textId="41443051" w:rsidR="0026097E" w:rsidRPr="0074743A" w:rsidRDefault="00284695">
            <w:pPr>
              <w:spacing w:after="0" w:line="259" w:lineRule="auto"/>
              <w:ind w:firstLine="0"/>
              <w:jc w:val="left"/>
              <w:rPr>
                <w:szCs w:val="20"/>
              </w:rPr>
            </w:pPr>
            <w:r w:rsidRPr="0074743A">
              <w:rPr>
                <w:rFonts w:ascii="Arial" w:eastAsia="Arial" w:hAnsi="Arial" w:cs="Arial"/>
                <w:szCs w:val="20"/>
              </w:rPr>
              <w:t xml:space="preserve">LOAEL </w:t>
            </w:r>
            <w:r w:rsidR="00797A26" w:rsidRPr="0074743A">
              <w:rPr>
                <w:rFonts w:ascii="宋体" w:eastAsia="宋体" w:hAnsi="宋体" w:cs="宋体" w:hint="eastAsia"/>
                <w:szCs w:val="20"/>
              </w:rPr>
              <w:t>到</w:t>
            </w:r>
            <w:r w:rsidRPr="0074743A">
              <w:rPr>
                <w:rFonts w:ascii="Arial" w:eastAsia="Arial" w:hAnsi="Arial" w:cs="Arial"/>
                <w:szCs w:val="20"/>
              </w:rPr>
              <w:t xml:space="preserve"> NOAEL (F5)</w:t>
            </w:r>
          </w:p>
          <w:p w14:paraId="509D8FC1" w14:textId="17415C91" w:rsidR="0026097E" w:rsidRPr="0074743A" w:rsidRDefault="00E44629">
            <w:pPr>
              <w:spacing w:after="0" w:line="259" w:lineRule="auto"/>
              <w:ind w:firstLine="0"/>
              <w:jc w:val="left"/>
              <w:rPr>
                <w:szCs w:val="20"/>
              </w:rPr>
            </w:pPr>
            <w:r w:rsidRPr="0074743A">
              <w:rPr>
                <w:rFonts w:ascii="宋体" w:eastAsia="宋体" w:hAnsi="宋体" w:cs="宋体" w:hint="eastAsia"/>
                <w:szCs w:val="20"/>
              </w:rPr>
              <w:t>数据完整性</w:t>
            </w:r>
          </w:p>
          <w:p w14:paraId="47A0B7D4" w14:textId="5BE5A967" w:rsidR="0026097E" w:rsidRPr="0074743A" w:rsidRDefault="00E44629">
            <w:pPr>
              <w:spacing w:after="0" w:line="259" w:lineRule="auto"/>
              <w:ind w:firstLine="0"/>
              <w:jc w:val="left"/>
              <w:rPr>
                <w:szCs w:val="20"/>
              </w:rPr>
            </w:pPr>
            <w:r w:rsidRPr="0074743A">
              <w:rPr>
                <w:rFonts w:ascii="宋体" w:eastAsia="宋体" w:hAnsi="宋体" w:cs="宋体" w:hint="eastAsia"/>
                <w:szCs w:val="20"/>
              </w:rPr>
              <w:t>积累</w:t>
            </w:r>
          </w:p>
          <w:p w14:paraId="7BB91C40" w14:textId="5915593A" w:rsidR="0026097E" w:rsidRPr="0074743A" w:rsidRDefault="00797A26">
            <w:pPr>
              <w:spacing w:after="42" w:line="259" w:lineRule="auto"/>
              <w:ind w:firstLine="0"/>
              <w:jc w:val="left"/>
              <w:rPr>
                <w:szCs w:val="20"/>
              </w:rPr>
            </w:pPr>
            <w:r w:rsidRPr="0074743A">
              <w:rPr>
                <w:rFonts w:ascii="宋体" w:eastAsia="宋体" w:hAnsi="宋体" w:cs="宋体" w:hint="eastAsia"/>
                <w:szCs w:val="20"/>
              </w:rPr>
              <w:t>吸收性</w:t>
            </w:r>
            <w:r w:rsidR="00284695" w:rsidRPr="0074743A">
              <w:rPr>
                <w:rFonts w:ascii="Arial" w:eastAsia="Arial" w:hAnsi="Arial" w:cs="Arial"/>
                <w:szCs w:val="20"/>
              </w:rPr>
              <w:t xml:space="preserve"> (</w:t>
            </w:r>
            <w:r w:rsidR="00284695" w:rsidRPr="0074743A">
              <w:rPr>
                <w:szCs w:val="20"/>
              </w:rPr>
              <w:t>α</w:t>
            </w:r>
            <w:r w:rsidR="00284695" w:rsidRPr="0074743A">
              <w:rPr>
                <w:rFonts w:ascii="Arial" w:eastAsia="Arial" w:hAnsi="Arial" w:cs="Arial"/>
                <w:szCs w:val="20"/>
              </w:rPr>
              <w:t>)</w:t>
            </w:r>
          </w:p>
          <w:p w14:paraId="077DB419" w14:textId="77777777" w:rsidR="0026097E" w:rsidRPr="0074743A" w:rsidRDefault="00284695">
            <w:pPr>
              <w:spacing w:after="0" w:line="259" w:lineRule="auto"/>
              <w:ind w:firstLine="0"/>
              <w:jc w:val="left"/>
              <w:rPr>
                <w:szCs w:val="20"/>
              </w:rPr>
            </w:pPr>
            <w:r w:rsidRPr="0074743A">
              <w:rPr>
                <w:rFonts w:ascii="Arial" w:eastAsia="Arial" w:hAnsi="Arial" w:cs="Arial"/>
                <w:szCs w:val="20"/>
              </w:rPr>
              <w:t>F</w:t>
            </w:r>
            <w:r w:rsidRPr="0074743A">
              <w:rPr>
                <w:rFonts w:ascii="Arial" w:eastAsia="Arial" w:hAnsi="Arial" w:cs="Arial"/>
                <w:szCs w:val="20"/>
                <w:vertAlign w:val="subscript"/>
              </w:rPr>
              <w:t>T</w:t>
            </w:r>
          </w:p>
        </w:tc>
        <w:tc>
          <w:tcPr>
            <w:tcW w:w="3827" w:type="dxa"/>
            <w:tcBorders>
              <w:top w:val="single" w:sz="4" w:space="0" w:color="221F1F"/>
              <w:left w:val="nil"/>
              <w:bottom w:val="nil"/>
              <w:right w:val="nil"/>
            </w:tcBorders>
          </w:tcPr>
          <w:p w14:paraId="7C72C579" w14:textId="77777777" w:rsidR="0026097E" w:rsidRPr="0074743A" w:rsidRDefault="0026097E">
            <w:pPr>
              <w:spacing w:after="160" w:line="259" w:lineRule="auto"/>
              <w:ind w:firstLine="0"/>
              <w:jc w:val="left"/>
              <w:rPr>
                <w:szCs w:val="20"/>
              </w:rPr>
            </w:pPr>
          </w:p>
        </w:tc>
        <w:tc>
          <w:tcPr>
            <w:tcW w:w="1098" w:type="dxa"/>
            <w:tcBorders>
              <w:top w:val="single" w:sz="4" w:space="0" w:color="221F1F"/>
              <w:left w:val="nil"/>
              <w:bottom w:val="nil"/>
              <w:right w:val="nil"/>
            </w:tcBorders>
          </w:tcPr>
          <w:p w14:paraId="5A0E9B1B" w14:textId="77777777" w:rsidR="0026097E" w:rsidRPr="0074743A" w:rsidRDefault="0026097E">
            <w:pPr>
              <w:spacing w:after="160" w:line="259" w:lineRule="auto"/>
              <w:ind w:firstLine="0"/>
              <w:jc w:val="left"/>
              <w:rPr>
                <w:szCs w:val="20"/>
              </w:rPr>
            </w:pPr>
          </w:p>
        </w:tc>
        <w:tc>
          <w:tcPr>
            <w:tcW w:w="1948" w:type="dxa"/>
            <w:tcBorders>
              <w:top w:val="single" w:sz="4" w:space="0" w:color="221F1F"/>
              <w:left w:val="nil"/>
              <w:bottom w:val="nil"/>
              <w:right w:val="nil"/>
            </w:tcBorders>
            <w:vAlign w:val="bottom"/>
          </w:tcPr>
          <w:p w14:paraId="7D61473A" w14:textId="58042573" w:rsidR="0026097E" w:rsidRPr="0074743A" w:rsidRDefault="00E44629">
            <w:pPr>
              <w:spacing w:after="0" w:line="259" w:lineRule="auto"/>
              <w:ind w:left="140" w:hanging="140"/>
              <w:jc w:val="left"/>
              <w:rPr>
                <w:szCs w:val="20"/>
              </w:rPr>
            </w:pPr>
            <w:r w:rsidRPr="0074743A">
              <w:rPr>
                <w:rFonts w:ascii="宋体" w:eastAsia="宋体" w:hAnsi="宋体" w:cs="宋体" w:hint="eastAsia"/>
                <w:szCs w:val="20"/>
              </w:rPr>
              <w:t>所有分配的乘积</w:t>
            </w:r>
            <w:r w:rsidR="00284695" w:rsidRPr="0074743A">
              <w:rPr>
                <w:rFonts w:ascii="Arial" w:eastAsia="Arial" w:hAnsi="Arial" w:cs="Arial"/>
                <w:szCs w:val="20"/>
              </w:rPr>
              <w:t>AF</w:t>
            </w:r>
          </w:p>
        </w:tc>
      </w:tr>
      <w:tr w:rsidR="0026097E" w:rsidRPr="0074743A" w14:paraId="50B1E180" w14:textId="77777777" w:rsidTr="0074743A">
        <w:trPr>
          <w:trHeight w:val="201"/>
        </w:trPr>
        <w:tc>
          <w:tcPr>
            <w:tcW w:w="3544" w:type="dxa"/>
            <w:tcBorders>
              <w:top w:val="nil"/>
              <w:left w:val="nil"/>
              <w:bottom w:val="single" w:sz="8" w:space="0" w:color="221F1F"/>
              <w:right w:val="nil"/>
            </w:tcBorders>
          </w:tcPr>
          <w:p w14:paraId="6516063E" w14:textId="77777777" w:rsidR="0026097E" w:rsidRPr="0074743A" w:rsidRDefault="00284695">
            <w:pPr>
              <w:spacing w:after="0" w:line="259" w:lineRule="auto"/>
              <w:ind w:firstLine="0"/>
              <w:jc w:val="left"/>
              <w:rPr>
                <w:szCs w:val="20"/>
              </w:rPr>
            </w:pPr>
            <w:r w:rsidRPr="0074743A">
              <w:rPr>
                <w:rFonts w:ascii="Arial" w:eastAsia="Arial" w:hAnsi="Arial" w:cs="Arial"/>
                <w:szCs w:val="20"/>
              </w:rPr>
              <w:t>HBEL</w:t>
            </w:r>
          </w:p>
        </w:tc>
        <w:tc>
          <w:tcPr>
            <w:tcW w:w="3827" w:type="dxa"/>
            <w:tcBorders>
              <w:top w:val="nil"/>
              <w:left w:val="nil"/>
              <w:bottom w:val="single" w:sz="8" w:space="0" w:color="221F1F"/>
              <w:right w:val="nil"/>
            </w:tcBorders>
          </w:tcPr>
          <w:p w14:paraId="18FA64DF" w14:textId="77777777" w:rsidR="0026097E" w:rsidRPr="0074743A" w:rsidRDefault="0026097E">
            <w:pPr>
              <w:spacing w:after="160" w:line="259" w:lineRule="auto"/>
              <w:ind w:firstLine="0"/>
              <w:jc w:val="left"/>
              <w:rPr>
                <w:szCs w:val="20"/>
              </w:rPr>
            </w:pPr>
          </w:p>
        </w:tc>
        <w:tc>
          <w:tcPr>
            <w:tcW w:w="1098" w:type="dxa"/>
            <w:tcBorders>
              <w:top w:val="nil"/>
              <w:left w:val="nil"/>
              <w:bottom w:val="single" w:sz="8" w:space="0" w:color="221F1F"/>
              <w:right w:val="nil"/>
            </w:tcBorders>
          </w:tcPr>
          <w:p w14:paraId="58FC8B83" w14:textId="77777777" w:rsidR="0026097E" w:rsidRPr="0074743A" w:rsidRDefault="0026097E">
            <w:pPr>
              <w:spacing w:after="160" w:line="259" w:lineRule="auto"/>
              <w:ind w:firstLine="0"/>
              <w:jc w:val="left"/>
              <w:rPr>
                <w:szCs w:val="20"/>
              </w:rPr>
            </w:pPr>
          </w:p>
        </w:tc>
        <w:tc>
          <w:tcPr>
            <w:tcW w:w="1948" w:type="dxa"/>
            <w:tcBorders>
              <w:top w:val="nil"/>
              <w:left w:val="nil"/>
              <w:bottom w:val="single" w:sz="8" w:space="0" w:color="221F1F"/>
              <w:right w:val="nil"/>
            </w:tcBorders>
          </w:tcPr>
          <w:p w14:paraId="6B810BE3" w14:textId="5575A462" w:rsidR="0026097E" w:rsidRPr="0074743A" w:rsidRDefault="00284695">
            <w:pPr>
              <w:spacing w:after="0" w:line="259" w:lineRule="auto"/>
              <w:ind w:firstLine="0"/>
              <w:jc w:val="left"/>
              <w:rPr>
                <w:szCs w:val="20"/>
              </w:rPr>
            </w:pPr>
            <w:r w:rsidRPr="0074743A">
              <w:rPr>
                <w:rFonts w:ascii="Arial" w:eastAsia="Arial" w:hAnsi="Arial" w:cs="Arial"/>
                <w:szCs w:val="20"/>
              </w:rPr>
              <w:t>µg/day for 50</w:t>
            </w:r>
            <w:r w:rsidRPr="0074743A">
              <w:rPr>
                <w:rFonts w:ascii="Arial" w:eastAsia="Arial" w:hAnsi="Arial" w:cs="Arial"/>
                <w:i/>
                <w:szCs w:val="20"/>
                <w:vertAlign w:val="superscript"/>
              </w:rPr>
              <w:t xml:space="preserve">B </w:t>
            </w:r>
            <w:r w:rsidRPr="0074743A">
              <w:rPr>
                <w:rFonts w:ascii="Arial" w:eastAsia="Arial" w:hAnsi="Arial" w:cs="Arial"/>
                <w:szCs w:val="20"/>
              </w:rPr>
              <w:t xml:space="preserve">kg </w:t>
            </w:r>
            <w:r w:rsidR="0074743A">
              <w:rPr>
                <w:rFonts w:ascii="宋体" w:eastAsia="宋体" w:hAnsi="宋体" w:cs="宋体" w:hint="eastAsia"/>
                <w:szCs w:val="20"/>
              </w:rPr>
              <w:t>人</w:t>
            </w:r>
          </w:p>
        </w:tc>
      </w:tr>
      <w:tr w:rsidR="0026097E" w:rsidRPr="0074743A" w14:paraId="4220B415" w14:textId="77777777" w:rsidTr="0074743A">
        <w:trPr>
          <w:trHeight w:val="1761"/>
        </w:trPr>
        <w:tc>
          <w:tcPr>
            <w:tcW w:w="3544" w:type="dxa"/>
            <w:tcBorders>
              <w:top w:val="single" w:sz="8" w:space="0" w:color="221F1F"/>
              <w:left w:val="nil"/>
              <w:bottom w:val="single" w:sz="8" w:space="0" w:color="221F1F"/>
              <w:right w:val="nil"/>
            </w:tcBorders>
          </w:tcPr>
          <w:p w14:paraId="405FA374" w14:textId="77777777" w:rsidR="00E44629" w:rsidRPr="0074743A" w:rsidRDefault="00284695">
            <w:pPr>
              <w:spacing w:after="0" w:line="259" w:lineRule="auto"/>
              <w:ind w:firstLine="0"/>
              <w:jc w:val="left"/>
              <w:rPr>
                <w:rFonts w:ascii="宋体" w:eastAsia="宋体" w:hAnsi="宋体" w:cs="宋体"/>
                <w:szCs w:val="20"/>
              </w:rPr>
            </w:pPr>
            <w:r w:rsidRPr="0074743A">
              <w:rPr>
                <w:rFonts w:ascii="Arial" w:eastAsia="Arial" w:hAnsi="Arial" w:cs="Arial"/>
                <w:i/>
                <w:szCs w:val="20"/>
              </w:rPr>
              <w:t xml:space="preserve">A </w:t>
            </w:r>
            <w:proofErr w:type="spellStart"/>
            <w:r w:rsidRPr="0074743A">
              <w:rPr>
                <w:rFonts w:ascii="Arial" w:eastAsia="Arial" w:hAnsi="Arial" w:cs="Arial"/>
                <w:szCs w:val="20"/>
              </w:rPr>
              <w:t>PoD</w:t>
            </w:r>
            <w:proofErr w:type="spellEnd"/>
            <w:r w:rsidRPr="0074743A">
              <w:rPr>
                <w:rFonts w:ascii="Arial" w:eastAsia="Arial" w:hAnsi="Arial" w:cs="Arial"/>
                <w:szCs w:val="20"/>
              </w:rPr>
              <w:t xml:space="preserve"> =</w:t>
            </w:r>
            <w:r w:rsidR="00E44629" w:rsidRPr="0074743A">
              <w:rPr>
                <w:rFonts w:ascii="宋体" w:eastAsia="宋体" w:hAnsi="宋体" w:cs="宋体" w:hint="eastAsia"/>
                <w:szCs w:val="20"/>
              </w:rPr>
              <w:t>出发点，</w:t>
            </w:r>
          </w:p>
          <w:p w14:paraId="4479EEDD" w14:textId="030E5516" w:rsidR="0026097E" w:rsidRPr="0074743A" w:rsidRDefault="00284695">
            <w:pPr>
              <w:spacing w:after="0" w:line="259" w:lineRule="auto"/>
              <w:ind w:firstLine="0"/>
              <w:jc w:val="left"/>
              <w:rPr>
                <w:szCs w:val="20"/>
              </w:rPr>
            </w:pPr>
            <w:r w:rsidRPr="0074743A">
              <w:rPr>
                <w:rFonts w:ascii="Arial" w:eastAsia="Arial" w:hAnsi="Arial" w:cs="Arial"/>
                <w:szCs w:val="20"/>
              </w:rPr>
              <w:t xml:space="preserve">LOAEL = </w:t>
            </w:r>
            <w:r w:rsidR="00E44629" w:rsidRPr="0074743A">
              <w:rPr>
                <w:rFonts w:ascii="宋体" w:eastAsia="宋体" w:hAnsi="宋体" w:cs="宋体" w:hint="eastAsia"/>
                <w:szCs w:val="20"/>
              </w:rPr>
              <w:t>出发点</w:t>
            </w:r>
            <w:r w:rsidRPr="0074743A">
              <w:rPr>
                <w:rFonts w:ascii="Arial" w:eastAsia="Arial" w:hAnsi="Arial" w:cs="Arial"/>
                <w:szCs w:val="20"/>
              </w:rPr>
              <w:t>,</w:t>
            </w:r>
          </w:p>
          <w:p w14:paraId="14CD735F" w14:textId="688FF069" w:rsidR="0026097E" w:rsidRPr="0074743A" w:rsidRDefault="00284695">
            <w:pPr>
              <w:spacing w:after="22" w:line="259" w:lineRule="auto"/>
              <w:ind w:firstLine="0"/>
              <w:jc w:val="left"/>
              <w:rPr>
                <w:szCs w:val="20"/>
              </w:rPr>
            </w:pPr>
            <w:r w:rsidRPr="0074743A">
              <w:rPr>
                <w:rFonts w:ascii="Arial" w:eastAsia="Arial" w:hAnsi="Arial" w:cs="Arial"/>
                <w:szCs w:val="20"/>
              </w:rPr>
              <w:t>NOAEL =</w:t>
            </w:r>
            <w:r w:rsidR="00E44629" w:rsidRPr="0074743A">
              <w:rPr>
                <w:rFonts w:ascii="宋体" w:eastAsia="宋体" w:hAnsi="宋体" w:cs="宋体" w:hint="eastAsia"/>
                <w:szCs w:val="20"/>
              </w:rPr>
              <w:t>最低观察到的不良反应水平</w:t>
            </w:r>
          </w:p>
          <w:p w14:paraId="28CFCA3F" w14:textId="4E93C5A8" w:rsidR="0026097E" w:rsidRPr="0074743A" w:rsidRDefault="00284695">
            <w:pPr>
              <w:spacing w:after="0" w:line="259" w:lineRule="auto"/>
              <w:ind w:right="345" w:firstLine="0"/>
              <w:jc w:val="left"/>
              <w:rPr>
                <w:szCs w:val="20"/>
              </w:rPr>
            </w:pPr>
            <w:r w:rsidRPr="0074743A">
              <w:rPr>
                <w:rFonts w:ascii="Arial" w:eastAsia="Arial" w:hAnsi="Arial" w:cs="Arial"/>
                <w:szCs w:val="20"/>
              </w:rPr>
              <w:t>F</w:t>
            </w:r>
            <w:r w:rsidRPr="0074743A">
              <w:rPr>
                <w:rFonts w:ascii="Arial" w:eastAsia="Arial" w:hAnsi="Arial" w:cs="Arial"/>
                <w:szCs w:val="20"/>
                <w:vertAlign w:val="subscript"/>
              </w:rPr>
              <w:t xml:space="preserve">T </w:t>
            </w:r>
            <w:r w:rsidRPr="0074743A">
              <w:rPr>
                <w:rFonts w:ascii="Arial" w:eastAsia="Arial" w:hAnsi="Arial" w:cs="Arial"/>
                <w:szCs w:val="20"/>
              </w:rPr>
              <w:t xml:space="preserve">= </w:t>
            </w:r>
            <w:r w:rsidR="00E44629" w:rsidRPr="0074743A">
              <w:rPr>
                <w:rFonts w:ascii="宋体" w:eastAsia="宋体" w:hAnsi="宋体" w:cs="宋体" w:hint="eastAsia"/>
                <w:szCs w:val="20"/>
              </w:rPr>
              <w:t>综合调整因子</w:t>
            </w:r>
            <w:r w:rsidRPr="0074743A">
              <w:rPr>
                <w:rFonts w:ascii="Arial" w:eastAsia="Arial" w:hAnsi="Arial" w:cs="Arial"/>
                <w:szCs w:val="20"/>
              </w:rPr>
              <w:t>, and IV =</w:t>
            </w:r>
            <w:r w:rsidR="00E44629" w:rsidRPr="0074743A">
              <w:rPr>
                <w:rFonts w:ascii="宋体" w:eastAsia="宋体" w:hAnsi="宋体" w:cs="宋体" w:hint="eastAsia"/>
                <w:szCs w:val="20"/>
              </w:rPr>
              <w:t>静脉</w:t>
            </w:r>
            <w:r w:rsidRPr="0074743A">
              <w:rPr>
                <w:rFonts w:ascii="Arial" w:eastAsia="Arial" w:hAnsi="Arial" w:cs="Arial"/>
                <w:szCs w:val="20"/>
              </w:rPr>
              <w:t xml:space="preserve">. </w:t>
            </w:r>
            <w:r w:rsidRPr="0074743A">
              <w:rPr>
                <w:rFonts w:ascii="Arial" w:eastAsia="Arial" w:hAnsi="Arial" w:cs="Arial"/>
                <w:i/>
                <w:szCs w:val="20"/>
                <w:vertAlign w:val="superscript"/>
              </w:rPr>
              <w:t>B</w:t>
            </w:r>
            <w:r w:rsidR="00E44629" w:rsidRPr="0074743A">
              <w:rPr>
                <w:rFonts w:ascii="宋体" w:eastAsia="宋体" w:hAnsi="宋体" w:cs="宋体" w:hint="eastAsia"/>
                <w:szCs w:val="20"/>
              </w:rPr>
              <w:t>当制造业适用于其他人群时应进行调整</w:t>
            </w:r>
            <w:r w:rsidRPr="0074743A">
              <w:rPr>
                <w:rFonts w:ascii="Arial" w:eastAsia="Arial" w:hAnsi="Arial" w:cs="Arial"/>
                <w:szCs w:val="20"/>
              </w:rPr>
              <w:t>.</w:t>
            </w:r>
          </w:p>
        </w:tc>
        <w:tc>
          <w:tcPr>
            <w:tcW w:w="3827" w:type="dxa"/>
            <w:tcBorders>
              <w:top w:val="single" w:sz="8" w:space="0" w:color="221F1F"/>
              <w:left w:val="nil"/>
              <w:bottom w:val="single" w:sz="8" w:space="0" w:color="221F1F"/>
              <w:right w:val="nil"/>
            </w:tcBorders>
            <w:vAlign w:val="bottom"/>
          </w:tcPr>
          <w:p w14:paraId="468E9858" w14:textId="1D303199" w:rsidR="0026097E" w:rsidRPr="0074743A" w:rsidRDefault="00284695">
            <w:pPr>
              <w:spacing w:after="0" w:line="259" w:lineRule="auto"/>
              <w:ind w:left="-2206" w:right="-587" w:firstLine="0"/>
              <w:jc w:val="center"/>
              <w:rPr>
                <w:szCs w:val="20"/>
              </w:rPr>
            </w:pPr>
            <w:r w:rsidRPr="0074743A">
              <w:rPr>
                <w:rFonts w:ascii="Arial" w:eastAsia="Arial" w:hAnsi="Arial" w:cs="Arial"/>
                <w:b/>
                <w:szCs w:val="20"/>
              </w:rPr>
              <w:t xml:space="preserve">TABLE X1.4 </w:t>
            </w:r>
            <w:r w:rsidR="00E44629" w:rsidRPr="0074743A">
              <w:rPr>
                <w:rFonts w:ascii="Arial" w:eastAsia="Arial" w:hAnsi="Arial" w:cs="Arial"/>
                <w:b/>
                <w:szCs w:val="20"/>
              </w:rPr>
              <w:t xml:space="preserve">         </w:t>
            </w:r>
            <w:r w:rsidR="00E44629" w:rsidRPr="0074743A">
              <w:rPr>
                <w:rFonts w:ascii="宋体" w:eastAsia="宋体" w:hAnsi="宋体" w:cs="宋体" w:hint="eastAsia"/>
                <w:b/>
                <w:szCs w:val="20"/>
              </w:rPr>
              <w:t>表</w:t>
            </w:r>
            <w:r w:rsidR="0074743A">
              <w:rPr>
                <w:rFonts w:ascii="宋体" w:eastAsia="宋体" w:hAnsi="宋体" w:cs="宋体" w:hint="eastAsia"/>
                <w:b/>
                <w:szCs w:val="20"/>
              </w:rPr>
              <w:t xml:space="preserve"> </w:t>
            </w:r>
            <w:r w:rsidR="00E44629" w:rsidRPr="0074743A">
              <w:rPr>
                <w:rFonts w:ascii="宋体" w:eastAsia="宋体" w:hAnsi="宋体" w:cs="宋体" w:hint="eastAsia"/>
                <w:b/>
                <w:szCs w:val="20"/>
              </w:rPr>
              <w:t>X1</w:t>
            </w:r>
            <w:r w:rsidR="00E44629" w:rsidRPr="0074743A">
              <w:rPr>
                <w:rFonts w:ascii="宋体" w:eastAsia="宋体" w:hAnsi="宋体" w:cs="宋体"/>
                <w:b/>
                <w:szCs w:val="20"/>
              </w:rPr>
              <w:t>.4</w:t>
            </w:r>
            <w:r w:rsidR="00E44629" w:rsidRPr="0074743A">
              <w:rPr>
                <w:rFonts w:ascii="宋体" w:eastAsia="宋体" w:hAnsi="宋体" w:cs="宋体" w:hint="eastAsia"/>
                <w:b/>
                <w:szCs w:val="20"/>
              </w:rPr>
              <w:t>密钥将版本</w:t>
            </w:r>
            <w:r w:rsidR="00E44629" w:rsidRPr="0074743A">
              <w:rPr>
                <w:rFonts w:ascii="Arial" w:eastAsia="Arial" w:hAnsi="Arial" w:cs="Arial"/>
                <w:b/>
                <w:szCs w:val="20"/>
              </w:rPr>
              <w:t>X</w:t>
            </w:r>
            <w:r w:rsidR="00E44629" w:rsidRPr="0074743A">
              <w:rPr>
                <w:rFonts w:ascii="宋体" w:eastAsia="宋体" w:hAnsi="宋体" w:cs="宋体" w:hint="eastAsia"/>
                <w:b/>
                <w:szCs w:val="20"/>
              </w:rPr>
              <w:t>更改为Y版本的摘要</w:t>
            </w:r>
          </w:p>
        </w:tc>
        <w:tc>
          <w:tcPr>
            <w:tcW w:w="1098" w:type="dxa"/>
            <w:tcBorders>
              <w:top w:val="single" w:sz="8" w:space="0" w:color="221F1F"/>
              <w:left w:val="nil"/>
              <w:bottom w:val="single" w:sz="8" w:space="0" w:color="221F1F"/>
              <w:right w:val="nil"/>
            </w:tcBorders>
          </w:tcPr>
          <w:p w14:paraId="6777506B" w14:textId="77777777" w:rsidR="0026097E" w:rsidRPr="0074743A" w:rsidRDefault="0026097E">
            <w:pPr>
              <w:spacing w:after="160" w:line="259" w:lineRule="auto"/>
              <w:ind w:firstLine="0"/>
              <w:jc w:val="left"/>
              <w:rPr>
                <w:szCs w:val="20"/>
              </w:rPr>
            </w:pPr>
          </w:p>
        </w:tc>
        <w:tc>
          <w:tcPr>
            <w:tcW w:w="1948" w:type="dxa"/>
            <w:tcBorders>
              <w:top w:val="single" w:sz="8" w:space="0" w:color="221F1F"/>
              <w:left w:val="nil"/>
              <w:bottom w:val="single" w:sz="8" w:space="0" w:color="221F1F"/>
              <w:right w:val="nil"/>
            </w:tcBorders>
          </w:tcPr>
          <w:p w14:paraId="6754FAA7" w14:textId="77777777" w:rsidR="0026097E" w:rsidRPr="0074743A" w:rsidRDefault="0026097E">
            <w:pPr>
              <w:spacing w:after="160" w:line="259" w:lineRule="auto"/>
              <w:ind w:firstLine="0"/>
              <w:jc w:val="left"/>
              <w:rPr>
                <w:szCs w:val="20"/>
              </w:rPr>
            </w:pPr>
          </w:p>
        </w:tc>
      </w:tr>
      <w:tr w:rsidR="0026097E" w:rsidRPr="0074743A" w14:paraId="2AAEDC8C" w14:textId="77777777" w:rsidTr="0074743A">
        <w:trPr>
          <w:trHeight w:val="233"/>
        </w:trPr>
        <w:tc>
          <w:tcPr>
            <w:tcW w:w="7371" w:type="dxa"/>
            <w:gridSpan w:val="2"/>
            <w:tcBorders>
              <w:top w:val="single" w:sz="8" w:space="0" w:color="221F1F"/>
              <w:left w:val="nil"/>
              <w:bottom w:val="single" w:sz="4" w:space="0" w:color="221F1F"/>
              <w:right w:val="nil"/>
            </w:tcBorders>
          </w:tcPr>
          <w:p w14:paraId="7BA9542E" w14:textId="70D8AD59" w:rsidR="0026097E" w:rsidRPr="0074743A" w:rsidRDefault="00284695">
            <w:pPr>
              <w:tabs>
                <w:tab w:val="center" w:pos="1798"/>
                <w:tab w:val="center" w:pos="5366"/>
              </w:tabs>
              <w:spacing w:after="0" w:line="259" w:lineRule="auto"/>
              <w:ind w:firstLine="0"/>
              <w:jc w:val="left"/>
              <w:rPr>
                <w:szCs w:val="20"/>
              </w:rPr>
            </w:pPr>
            <w:r w:rsidRPr="0074743A">
              <w:rPr>
                <w:rFonts w:ascii="Calibri" w:eastAsia="Calibri" w:hAnsi="Calibri" w:cs="Calibri"/>
                <w:color w:val="000000"/>
                <w:szCs w:val="20"/>
              </w:rPr>
              <w:tab/>
            </w:r>
            <w:r w:rsidR="00E44629" w:rsidRPr="0074743A">
              <w:rPr>
                <w:rFonts w:ascii="宋体" w:eastAsia="宋体" w:hAnsi="宋体" w:cs="宋体" w:hint="eastAsia"/>
                <w:szCs w:val="20"/>
              </w:rPr>
              <w:t>章节说明</w:t>
            </w:r>
            <w:r w:rsidRPr="0074743A">
              <w:rPr>
                <w:rFonts w:ascii="Arial" w:eastAsia="Arial" w:hAnsi="Arial" w:cs="Arial"/>
                <w:szCs w:val="20"/>
              </w:rPr>
              <w:tab/>
            </w:r>
            <w:r w:rsidR="00E44629" w:rsidRPr="0074743A">
              <w:rPr>
                <w:rFonts w:ascii="宋体" w:eastAsia="宋体" w:hAnsi="宋体" w:cs="宋体" w:hint="eastAsia"/>
                <w:szCs w:val="20"/>
              </w:rPr>
              <w:t>当前版本</w:t>
            </w:r>
            <w:r w:rsidR="00E44629" w:rsidRPr="0074743A">
              <w:rPr>
                <w:rFonts w:ascii="Arial" w:eastAsia="Arial" w:hAnsi="Arial" w:cs="Arial"/>
                <w:szCs w:val="20"/>
              </w:rPr>
              <w:t>Y</w:t>
            </w:r>
            <w:r w:rsidR="00E44629" w:rsidRPr="0074743A">
              <w:rPr>
                <w:rFonts w:ascii="宋体" w:eastAsia="宋体" w:hAnsi="宋体" w:cs="宋体" w:hint="eastAsia"/>
                <w:szCs w:val="20"/>
              </w:rPr>
              <w:t>中的节号</w:t>
            </w:r>
          </w:p>
        </w:tc>
        <w:tc>
          <w:tcPr>
            <w:tcW w:w="3046" w:type="dxa"/>
            <w:gridSpan w:val="2"/>
            <w:tcBorders>
              <w:top w:val="single" w:sz="8" w:space="0" w:color="221F1F"/>
              <w:left w:val="nil"/>
              <w:bottom w:val="single" w:sz="4" w:space="0" w:color="221F1F"/>
              <w:right w:val="nil"/>
            </w:tcBorders>
          </w:tcPr>
          <w:p w14:paraId="2A0F5EA6" w14:textId="37B3FB92" w:rsidR="0026097E" w:rsidRPr="0074743A" w:rsidRDefault="00E44629">
            <w:pPr>
              <w:spacing w:after="0" w:line="259" w:lineRule="auto"/>
              <w:ind w:firstLine="0"/>
              <w:jc w:val="left"/>
              <w:rPr>
                <w:szCs w:val="20"/>
              </w:rPr>
            </w:pPr>
            <w:r w:rsidRPr="0074743A">
              <w:rPr>
                <w:rFonts w:ascii="宋体" w:eastAsia="宋体" w:hAnsi="宋体" w:cs="宋体" w:hint="eastAsia"/>
                <w:szCs w:val="20"/>
              </w:rPr>
              <w:t>与上一版本的主要变化</w:t>
            </w:r>
          </w:p>
        </w:tc>
      </w:tr>
      <w:tr w:rsidR="0026097E" w:rsidRPr="0074743A" w14:paraId="26E47A98" w14:textId="77777777" w:rsidTr="0074743A">
        <w:trPr>
          <w:trHeight w:val="746"/>
        </w:trPr>
        <w:tc>
          <w:tcPr>
            <w:tcW w:w="7371" w:type="dxa"/>
            <w:gridSpan w:val="2"/>
            <w:tcBorders>
              <w:top w:val="single" w:sz="4" w:space="0" w:color="221F1F"/>
              <w:left w:val="nil"/>
              <w:bottom w:val="single" w:sz="8" w:space="0" w:color="221F1F"/>
              <w:right w:val="nil"/>
            </w:tcBorders>
          </w:tcPr>
          <w:p w14:paraId="114FC353" w14:textId="77777777" w:rsidR="0026097E" w:rsidRPr="0074743A" w:rsidRDefault="0026097E">
            <w:pPr>
              <w:spacing w:after="160" w:line="259" w:lineRule="auto"/>
              <w:ind w:firstLine="0"/>
              <w:jc w:val="left"/>
              <w:rPr>
                <w:szCs w:val="20"/>
              </w:rPr>
            </w:pPr>
          </w:p>
        </w:tc>
        <w:tc>
          <w:tcPr>
            <w:tcW w:w="3046" w:type="dxa"/>
            <w:gridSpan w:val="2"/>
            <w:tcBorders>
              <w:top w:val="single" w:sz="4" w:space="0" w:color="221F1F"/>
              <w:left w:val="nil"/>
              <w:bottom w:val="single" w:sz="8" w:space="0" w:color="221F1F"/>
              <w:right w:val="nil"/>
            </w:tcBorders>
          </w:tcPr>
          <w:p w14:paraId="3C05002C" w14:textId="77777777" w:rsidR="0026097E" w:rsidRPr="0074743A" w:rsidRDefault="0026097E">
            <w:pPr>
              <w:spacing w:after="160" w:line="259" w:lineRule="auto"/>
              <w:ind w:firstLine="0"/>
              <w:jc w:val="left"/>
              <w:rPr>
                <w:szCs w:val="20"/>
              </w:rPr>
            </w:pPr>
          </w:p>
        </w:tc>
      </w:tr>
      <w:tr w:rsidR="0026097E" w:rsidRPr="0074743A" w14:paraId="4859F472" w14:textId="77777777" w:rsidTr="0074743A">
        <w:trPr>
          <w:trHeight w:val="664"/>
        </w:trPr>
        <w:tc>
          <w:tcPr>
            <w:tcW w:w="7371" w:type="dxa"/>
            <w:gridSpan w:val="2"/>
            <w:tcBorders>
              <w:top w:val="single" w:sz="8" w:space="0" w:color="221F1F"/>
              <w:left w:val="nil"/>
              <w:bottom w:val="single" w:sz="8" w:space="0" w:color="221F1F"/>
              <w:right w:val="nil"/>
            </w:tcBorders>
            <w:vAlign w:val="bottom"/>
          </w:tcPr>
          <w:p w14:paraId="263FCE32" w14:textId="0DF5C62D" w:rsidR="0026097E" w:rsidRPr="0074743A" w:rsidRDefault="00E44629">
            <w:pPr>
              <w:spacing w:after="0" w:line="259" w:lineRule="auto"/>
              <w:ind w:left="2637" w:firstLine="0"/>
              <w:jc w:val="center"/>
              <w:rPr>
                <w:szCs w:val="20"/>
              </w:rPr>
            </w:pPr>
            <w:r w:rsidRPr="0074743A">
              <w:rPr>
                <w:rFonts w:ascii="宋体" w:eastAsia="宋体" w:hAnsi="宋体" w:cs="宋体" w:hint="eastAsia"/>
                <w:b/>
                <w:szCs w:val="20"/>
              </w:rPr>
              <w:t>表</w:t>
            </w:r>
            <w:r w:rsidR="00284695" w:rsidRPr="0074743A">
              <w:rPr>
                <w:rFonts w:ascii="Arial" w:eastAsia="Arial" w:hAnsi="Arial" w:cs="Arial"/>
                <w:b/>
                <w:szCs w:val="20"/>
              </w:rPr>
              <w:t xml:space="preserve"> X1.5 </w:t>
            </w:r>
            <w:r w:rsidRPr="0074743A">
              <w:rPr>
                <w:rFonts w:ascii="宋体" w:eastAsia="宋体" w:hAnsi="宋体" w:cs="宋体" w:hint="eastAsia"/>
                <w:b/>
                <w:szCs w:val="20"/>
              </w:rPr>
              <w:t>身份证明</w:t>
            </w:r>
          </w:p>
        </w:tc>
        <w:tc>
          <w:tcPr>
            <w:tcW w:w="3046" w:type="dxa"/>
            <w:gridSpan w:val="2"/>
            <w:tcBorders>
              <w:top w:val="single" w:sz="8" w:space="0" w:color="221F1F"/>
              <w:left w:val="nil"/>
              <w:bottom w:val="single" w:sz="8" w:space="0" w:color="221F1F"/>
              <w:right w:val="nil"/>
            </w:tcBorders>
          </w:tcPr>
          <w:p w14:paraId="78D617BF" w14:textId="77777777" w:rsidR="0026097E" w:rsidRPr="0074743A" w:rsidRDefault="0026097E">
            <w:pPr>
              <w:spacing w:after="160" w:line="259" w:lineRule="auto"/>
              <w:ind w:firstLine="0"/>
              <w:jc w:val="left"/>
              <w:rPr>
                <w:szCs w:val="20"/>
              </w:rPr>
            </w:pPr>
          </w:p>
        </w:tc>
      </w:tr>
      <w:tr w:rsidR="0026097E" w:rsidRPr="0074743A" w14:paraId="3EDDD6E4" w14:textId="77777777" w:rsidTr="0074743A">
        <w:trPr>
          <w:trHeight w:val="1260"/>
        </w:trPr>
        <w:tc>
          <w:tcPr>
            <w:tcW w:w="7371" w:type="dxa"/>
            <w:gridSpan w:val="2"/>
            <w:tcBorders>
              <w:top w:val="single" w:sz="8" w:space="0" w:color="221F1F"/>
              <w:left w:val="nil"/>
              <w:bottom w:val="single" w:sz="8" w:space="0" w:color="221F1F"/>
              <w:right w:val="nil"/>
            </w:tcBorders>
          </w:tcPr>
          <w:p w14:paraId="6AA8109D" w14:textId="77777777" w:rsidR="00E44629" w:rsidRPr="0074743A" w:rsidRDefault="00E44629" w:rsidP="00E44629">
            <w:pPr>
              <w:spacing w:after="0" w:line="259" w:lineRule="auto"/>
              <w:ind w:firstLine="0"/>
              <w:jc w:val="left"/>
              <w:rPr>
                <w:rFonts w:ascii="Arial" w:eastAsia="Arial" w:hAnsi="Arial" w:cs="Arial"/>
                <w:szCs w:val="20"/>
              </w:rPr>
            </w:pPr>
            <w:r w:rsidRPr="0074743A">
              <w:rPr>
                <w:rFonts w:ascii="宋体" w:eastAsia="宋体" w:hAnsi="宋体" w:cs="宋体" w:hint="eastAsia"/>
                <w:szCs w:val="20"/>
              </w:rPr>
              <w:lastRenderedPageBreak/>
              <w:t>物质开发代码</w:t>
            </w:r>
            <w:r w:rsidRPr="0074743A">
              <w:rPr>
                <w:rFonts w:ascii="Arial" w:eastAsia="Arial" w:hAnsi="Arial" w:cs="Arial"/>
                <w:szCs w:val="20"/>
              </w:rPr>
              <w:t>/</w:t>
            </w:r>
            <w:r w:rsidRPr="0074743A">
              <w:rPr>
                <w:rFonts w:ascii="宋体" w:eastAsia="宋体" w:hAnsi="宋体" w:cs="宋体" w:hint="eastAsia"/>
                <w:szCs w:val="20"/>
              </w:rPr>
              <w:t>通用名称</w:t>
            </w:r>
          </w:p>
          <w:p w14:paraId="4C9234FF" w14:textId="77777777" w:rsidR="00E44629" w:rsidRPr="0074743A" w:rsidRDefault="00E44629" w:rsidP="00E44629">
            <w:pPr>
              <w:spacing w:after="0" w:line="259" w:lineRule="auto"/>
              <w:ind w:firstLine="0"/>
              <w:jc w:val="left"/>
              <w:rPr>
                <w:rFonts w:ascii="Arial" w:eastAsia="Arial" w:hAnsi="Arial" w:cs="Arial"/>
                <w:szCs w:val="20"/>
              </w:rPr>
            </w:pPr>
            <w:r w:rsidRPr="0074743A">
              <w:rPr>
                <w:rFonts w:ascii="宋体" w:eastAsia="宋体" w:hAnsi="宋体" w:cs="宋体" w:hint="eastAsia"/>
                <w:szCs w:val="20"/>
              </w:rPr>
              <w:t>是材料</w:t>
            </w:r>
            <w:r w:rsidRPr="0074743A">
              <w:rPr>
                <w:rFonts w:ascii="Arial" w:eastAsia="Arial" w:hAnsi="Arial" w:cs="Arial"/>
                <w:szCs w:val="20"/>
              </w:rPr>
              <w:t>DS</w:t>
            </w:r>
            <w:r w:rsidRPr="0074743A">
              <w:rPr>
                <w:rFonts w:ascii="宋体" w:eastAsia="宋体" w:hAnsi="宋体" w:cs="宋体" w:hint="eastAsia"/>
                <w:szCs w:val="20"/>
              </w:rPr>
              <w:t>（小分子，生物的，其他的）</w:t>
            </w:r>
          </w:p>
          <w:p w14:paraId="2007EBF0" w14:textId="77777777" w:rsidR="00E44629" w:rsidRPr="0074743A" w:rsidRDefault="00E44629" w:rsidP="00E44629">
            <w:pPr>
              <w:spacing w:after="0" w:line="259" w:lineRule="auto"/>
              <w:ind w:firstLine="0"/>
              <w:jc w:val="left"/>
              <w:rPr>
                <w:rFonts w:ascii="Arial" w:eastAsia="Arial" w:hAnsi="Arial" w:cs="Arial"/>
                <w:szCs w:val="20"/>
              </w:rPr>
            </w:pPr>
            <w:r w:rsidRPr="0074743A">
              <w:rPr>
                <w:rFonts w:ascii="宋体" w:eastAsia="宋体" w:hAnsi="宋体" w:cs="宋体" w:hint="eastAsia"/>
                <w:szCs w:val="20"/>
              </w:rPr>
              <w:t>物质同义词（品牌名称，开发</w:t>
            </w:r>
            <w:r w:rsidRPr="0074743A">
              <w:rPr>
                <w:rFonts w:ascii="Arial" w:eastAsia="Arial" w:hAnsi="Arial" w:cs="Arial"/>
                <w:szCs w:val="20"/>
              </w:rPr>
              <w:t>ID</w:t>
            </w:r>
            <w:r w:rsidRPr="0074743A">
              <w:rPr>
                <w:rFonts w:ascii="宋体" w:eastAsia="宋体" w:hAnsi="宋体" w:cs="宋体" w:hint="eastAsia"/>
                <w:szCs w:val="20"/>
              </w:rPr>
              <w:t>等）</w:t>
            </w:r>
          </w:p>
          <w:p w14:paraId="6AF30CBC" w14:textId="77777777" w:rsidR="00E44629" w:rsidRPr="0074743A" w:rsidRDefault="00E44629" w:rsidP="00E44629">
            <w:pPr>
              <w:spacing w:after="0" w:line="259" w:lineRule="auto"/>
              <w:ind w:firstLine="0"/>
              <w:jc w:val="left"/>
              <w:rPr>
                <w:rFonts w:ascii="Arial" w:eastAsia="Arial" w:hAnsi="Arial" w:cs="Arial"/>
                <w:szCs w:val="20"/>
              </w:rPr>
            </w:pPr>
            <w:r w:rsidRPr="0074743A">
              <w:rPr>
                <w:rFonts w:ascii="宋体" w:eastAsia="宋体" w:hAnsi="宋体" w:cs="宋体" w:hint="eastAsia"/>
                <w:szCs w:val="20"/>
              </w:rPr>
              <w:t>物质发展阶段</w:t>
            </w:r>
          </w:p>
          <w:p w14:paraId="093C6B22" w14:textId="77777777" w:rsidR="00E44629" w:rsidRPr="0074743A" w:rsidRDefault="00E44629" w:rsidP="00E44629">
            <w:pPr>
              <w:spacing w:after="0" w:line="259" w:lineRule="auto"/>
              <w:ind w:firstLine="0"/>
              <w:jc w:val="left"/>
              <w:rPr>
                <w:rFonts w:ascii="Arial" w:eastAsia="Arial" w:hAnsi="Arial" w:cs="Arial"/>
                <w:szCs w:val="20"/>
              </w:rPr>
            </w:pPr>
            <w:r w:rsidRPr="0074743A">
              <w:rPr>
                <w:rFonts w:ascii="宋体" w:eastAsia="宋体" w:hAnsi="宋体" w:cs="宋体" w:hint="eastAsia"/>
                <w:szCs w:val="20"/>
              </w:rPr>
              <w:t>化学结构</w:t>
            </w:r>
          </w:p>
          <w:p w14:paraId="386AE73C" w14:textId="6DE69AF1" w:rsidR="0026097E" w:rsidRPr="0074743A" w:rsidRDefault="00E44629" w:rsidP="00E44629">
            <w:pPr>
              <w:spacing w:after="0" w:line="259" w:lineRule="auto"/>
              <w:ind w:firstLine="0"/>
              <w:jc w:val="left"/>
              <w:rPr>
                <w:szCs w:val="20"/>
              </w:rPr>
            </w:pPr>
            <w:r w:rsidRPr="0074743A">
              <w:rPr>
                <w:rFonts w:ascii="宋体" w:eastAsia="宋体" w:hAnsi="宋体" w:cs="宋体" w:hint="eastAsia"/>
                <w:szCs w:val="20"/>
              </w:rPr>
              <w:t>分子量</w:t>
            </w:r>
          </w:p>
        </w:tc>
        <w:tc>
          <w:tcPr>
            <w:tcW w:w="3046" w:type="dxa"/>
            <w:gridSpan w:val="2"/>
            <w:tcBorders>
              <w:top w:val="single" w:sz="8" w:space="0" w:color="221F1F"/>
              <w:left w:val="nil"/>
              <w:bottom w:val="single" w:sz="8" w:space="0" w:color="221F1F"/>
              <w:right w:val="nil"/>
            </w:tcBorders>
          </w:tcPr>
          <w:p w14:paraId="7835B140" w14:textId="77777777" w:rsidR="0026097E" w:rsidRPr="0074743A" w:rsidRDefault="0026097E">
            <w:pPr>
              <w:spacing w:after="160" w:line="259" w:lineRule="auto"/>
              <w:ind w:firstLine="0"/>
              <w:jc w:val="left"/>
              <w:rPr>
                <w:szCs w:val="20"/>
              </w:rPr>
            </w:pPr>
          </w:p>
        </w:tc>
      </w:tr>
    </w:tbl>
    <w:p w14:paraId="5F89BF5E" w14:textId="77777777" w:rsidR="0026097E" w:rsidRPr="0074743A" w:rsidRDefault="00284695">
      <w:pPr>
        <w:spacing w:after="3" w:line="259" w:lineRule="auto"/>
        <w:ind w:left="10" w:right="5" w:hanging="10"/>
        <w:jc w:val="center"/>
        <w:rPr>
          <w:szCs w:val="20"/>
        </w:rPr>
      </w:pPr>
      <w:r w:rsidRPr="0074743A">
        <w:rPr>
          <w:rFonts w:ascii="Arial" w:eastAsia="Arial" w:hAnsi="Arial" w:cs="Arial"/>
          <w:b/>
          <w:szCs w:val="20"/>
        </w:rPr>
        <w:t>TABLE X1.6 Approach for the Calculation of an HBEL</w:t>
      </w:r>
      <w:r w:rsidRPr="0074743A">
        <w:rPr>
          <w:rFonts w:ascii="Arial" w:eastAsia="Arial" w:hAnsi="Arial" w:cs="Arial"/>
          <w:i/>
          <w:szCs w:val="20"/>
          <w:vertAlign w:val="superscript"/>
        </w:rPr>
        <w:t>A</w:t>
      </w:r>
    </w:p>
    <w:tbl>
      <w:tblPr>
        <w:tblStyle w:val="TableGrid"/>
        <w:tblW w:w="10417" w:type="dxa"/>
        <w:tblInd w:w="0" w:type="dxa"/>
        <w:tblCellMar>
          <w:top w:w="11" w:type="dxa"/>
          <w:bottom w:w="9" w:type="dxa"/>
          <w:right w:w="34" w:type="dxa"/>
        </w:tblCellMar>
        <w:tblLook w:val="04A0" w:firstRow="1" w:lastRow="0" w:firstColumn="1" w:lastColumn="0" w:noHBand="0" w:noVBand="1"/>
      </w:tblPr>
      <w:tblGrid>
        <w:gridCol w:w="1843"/>
        <w:gridCol w:w="2693"/>
        <w:gridCol w:w="2455"/>
        <w:gridCol w:w="1476"/>
        <w:gridCol w:w="1950"/>
      </w:tblGrid>
      <w:tr w:rsidR="0026097E" w:rsidRPr="0074743A" w14:paraId="1C5A0512" w14:textId="77777777" w:rsidTr="0074743A">
        <w:trPr>
          <w:trHeight w:val="233"/>
        </w:trPr>
        <w:tc>
          <w:tcPr>
            <w:tcW w:w="4536" w:type="dxa"/>
            <w:gridSpan w:val="2"/>
            <w:tcBorders>
              <w:top w:val="single" w:sz="8" w:space="0" w:color="221F1F"/>
              <w:left w:val="nil"/>
              <w:bottom w:val="single" w:sz="4" w:space="0" w:color="221F1F"/>
              <w:right w:val="nil"/>
            </w:tcBorders>
          </w:tcPr>
          <w:p w14:paraId="427F717C" w14:textId="41851B0C" w:rsidR="0026097E" w:rsidRPr="0074743A" w:rsidRDefault="00284695">
            <w:pPr>
              <w:spacing w:after="0" w:line="259" w:lineRule="auto"/>
              <w:ind w:left="532" w:firstLine="0"/>
              <w:jc w:val="left"/>
              <w:rPr>
                <w:szCs w:val="20"/>
              </w:rPr>
            </w:pPr>
            <w:proofErr w:type="spellStart"/>
            <w:r w:rsidRPr="0074743A">
              <w:rPr>
                <w:rFonts w:ascii="Arial" w:eastAsia="Arial" w:hAnsi="Arial" w:cs="Arial"/>
                <w:szCs w:val="20"/>
              </w:rPr>
              <w:t>PoD</w:t>
            </w:r>
            <w:proofErr w:type="spellEnd"/>
            <w:r w:rsidRPr="0074743A">
              <w:rPr>
                <w:rFonts w:ascii="Arial" w:eastAsia="Arial" w:hAnsi="Arial" w:cs="Arial"/>
                <w:szCs w:val="20"/>
              </w:rPr>
              <w:t xml:space="preserve"> </w:t>
            </w:r>
            <w:r w:rsidR="00797A26" w:rsidRPr="0074743A">
              <w:rPr>
                <w:rFonts w:ascii="宋体" w:eastAsia="宋体" w:hAnsi="宋体" w:cs="宋体" w:hint="eastAsia"/>
                <w:szCs w:val="20"/>
              </w:rPr>
              <w:t>原理</w:t>
            </w:r>
            <w:r w:rsidRPr="0074743A">
              <w:rPr>
                <w:rFonts w:ascii="Arial" w:eastAsia="Arial" w:hAnsi="Arial" w:cs="Arial"/>
                <w:szCs w:val="20"/>
              </w:rPr>
              <w:t>(s)</w:t>
            </w:r>
          </w:p>
        </w:tc>
        <w:tc>
          <w:tcPr>
            <w:tcW w:w="3931" w:type="dxa"/>
            <w:gridSpan w:val="2"/>
            <w:tcBorders>
              <w:top w:val="single" w:sz="8" w:space="0" w:color="221F1F"/>
              <w:left w:val="nil"/>
              <w:bottom w:val="single" w:sz="4" w:space="0" w:color="221F1F"/>
              <w:right w:val="nil"/>
            </w:tcBorders>
          </w:tcPr>
          <w:p w14:paraId="2E3170F3" w14:textId="3360D46E" w:rsidR="0026097E" w:rsidRPr="0074743A" w:rsidRDefault="00797A26">
            <w:pPr>
              <w:spacing w:after="0" w:line="259" w:lineRule="auto"/>
              <w:ind w:firstLine="0"/>
              <w:jc w:val="left"/>
              <w:rPr>
                <w:szCs w:val="20"/>
              </w:rPr>
            </w:pPr>
            <w:r w:rsidRPr="0074743A">
              <w:rPr>
                <w:rFonts w:ascii="宋体" w:eastAsia="宋体" w:hAnsi="宋体" w:cs="宋体" w:hint="eastAsia"/>
                <w:szCs w:val="20"/>
              </w:rPr>
              <w:t>描述</w:t>
            </w:r>
            <w:proofErr w:type="spellStart"/>
            <w:r w:rsidRPr="0074743A">
              <w:rPr>
                <w:rFonts w:ascii="Arial" w:eastAsia="Arial" w:hAnsi="Arial" w:cs="Arial"/>
                <w:szCs w:val="20"/>
              </w:rPr>
              <w:t>PoD</w:t>
            </w:r>
            <w:proofErr w:type="spellEnd"/>
            <w:r w:rsidRPr="0074743A">
              <w:rPr>
                <w:rFonts w:ascii="宋体" w:eastAsia="宋体" w:hAnsi="宋体" w:cs="宋体" w:hint="eastAsia"/>
                <w:szCs w:val="20"/>
              </w:rPr>
              <w:t>，管理途径和价值</w:t>
            </w:r>
          </w:p>
        </w:tc>
        <w:tc>
          <w:tcPr>
            <w:tcW w:w="1950" w:type="dxa"/>
            <w:tcBorders>
              <w:top w:val="single" w:sz="8" w:space="0" w:color="221F1F"/>
              <w:left w:val="nil"/>
              <w:bottom w:val="single" w:sz="4" w:space="0" w:color="221F1F"/>
              <w:right w:val="nil"/>
            </w:tcBorders>
          </w:tcPr>
          <w:p w14:paraId="39C6D805" w14:textId="77777777" w:rsidR="0026097E" w:rsidRPr="0074743A" w:rsidRDefault="0026097E">
            <w:pPr>
              <w:spacing w:after="160" w:line="259" w:lineRule="auto"/>
              <w:ind w:firstLine="0"/>
              <w:jc w:val="left"/>
              <w:rPr>
                <w:szCs w:val="20"/>
              </w:rPr>
            </w:pPr>
          </w:p>
        </w:tc>
      </w:tr>
      <w:tr w:rsidR="0026097E" w:rsidRPr="0074743A" w14:paraId="7269FADC" w14:textId="77777777" w:rsidTr="0074743A">
        <w:trPr>
          <w:trHeight w:val="266"/>
        </w:trPr>
        <w:tc>
          <w:tcPr>
            <w:tcW w:w="4536" w:type="dxa"/>
            <w:gridSpan w:val="2"/>
            <w:tcBorders>
              <w:top w:val="single" w:sz="4" w:space="0" w:color="221F1F"/>
              <w:left w:val="nil"/>
              <w:bottom w:val="single" w:sz="4" w:space="0" w:color="221F1F"/>
              <w:right w:val="nil"/>
            </w:tcBorders>
          </w:tcPr>
          <w:p w14:paraId="4481416E" w14:textId="73EBD311" w:rsidR="0026097E" w:rsidRPr="0074743A" w:rsidRDefault="00797A26">
            <w:pPr>
              <w:spacing w:after="0" w:line="259" w:lineRule="auto"/>
              <w:ind w:left="619" w:firstLine="0"/>
              <w:jc w:val="left"/>
              <w:rPr>
                <w:szCs w:val="20"/>
              </w:rPr>
            </w:pPr>
            <w:r w:rsidRPr="0074743A">
              <w:rPr>
                <w:rFonts w:ascii="宋体" w:eastAsia="宋体" w:hAnsi="宋体" w:cs="宋体" w:hint="eastAsia"/>
                <w:szCs w:val="20"/>
              </w:rPr>
              <w:t>关键影响</w:t>
            </w:r>
          </w:p>
        </w:tc>
        <w:tc>
          <w:tcPr>
            <w:tcW w:w="3931" w:type="dxa"/>
            <w:gridSpan w:val="2"/>
            <w:tcBorders>
              <w:top w:val="single" w:sz="4" w:space="0" w:color="221F1F"/>
              <w:left w:val="nil"/>
              <w:bottom w:val="single" w:sz="4" w:space="0" w:color="221F1F"/>
              <w:right w:val="nil"/>
            </w:tcBorders>
          </w:tcPr>
          <w:p w14:paraId="2DB7F426" w14:textId="1291A09D" w:rsidR="0026097E" w:rsidRPr="0074743A" w:rsidRDefault="00797A26">
            <w:pPr>
              <w:spacing w:after="0" w:line="259" w:lineRule="auto"/>
              <w:ind w:left="215" w:firstLine="0"/>
              <w:jc w:val="left"/>
              <w:rPr>
                <w:szCs w:val="20"/>
              </w:rPr>
            </w:pPr>
            <w:r w:rsidRPr="0074743A">
              <w:rPr>
                <w:rFonts w:ascii="宋体" w:eastAsia="宋体" w:hAnsi="宋体" w:cs="宋体" w:hint="eastAsia"/>
                <w:szCs w:val="20"/>
              </w:rPr>
              <w:t>描述物质的关键作用</w:t>
            </w:r>
          </w:p>
        </w:tc>
        <w:tc>
          <w:tcPr>
            <w:tcW w:w="1950" w:type="dxa"/>
            <w:tcBorders>
              <w:top w:val="single" w:sz="4" w:space="0" w:color="221F1F"/>
              <w:left w:val="nil"/>
              <w:bottom w:val="single" w:sz="4" w:space="0" w:color="221F1F"/>
              <w:right w:val="nil"/>
            </w:tcBorders>
          </w:tcPr>
          <w:p w14:paraId="051E31D2" w14:textId="77777777" w:rsidR="0026097E" w:rsidRPr="0074743A" w:rsidRDefault="0026097E">
            <w:pPr>
              <w:spacing w:after="160" w:line="259" w:lineRule="auto"/>
              <w:ind w:firstLine="0"/>
              <w:jc w:val="left"/>
              <w:rPr>
                <w:szCs w:val="20"/>
              </w:rPr>
            </w:pPr>
          </w:p>
        </w:tc>
      </w:tr>
      <w:tr w:rsidR="0026097E" w:rsidRPr="0074743A" w14:paraId="67272451" w14:textId="77777777" w:rsidTr="0074743A">
        <w:trPr>
          <w:trHeight w:val="231"/>
        </w:trPr>
        <w:tc>
          <w:tcPr>
            <w:tcW w:w="4536" w:type="dxa"/>
            <w:gridSpan w:val="2"/>
            <w:tcBorders>
              <w:top w:val="single" w:sz="4" w:space="0" w:color="221F1F"/>
              <w:left w:val="nil"/>
              <w:bottom w:val="single" w:sz="4" w:space="0" w:color="221F1F"/>
              <w:right w:val="nil"/>
            </w:tcBorders>
          </w:tcPr>
          <w:p w14:paraId="66C9C540" w14:textId="77777777" w:rsidR="0026097E" w:rsidRPr="0074743A" w:rsidRDefault="00284695">
            <w:pPr>
              <w:spacing w:after="0" w:line="259" w:lineRule="auto"/>
              <w:ind w:left="1326" w:firstLine="0"/>
              <w:jc w:val="center"/>
              <w:rPr>
                <w:szCs w:val="20"/>
              </w:rPr>
            </w:pPr>
            <w:r w:rsidRPr="0074743A">
              <w:rPr>
                <w:rFonts w:ascii="Arial" w:eastAsia="Arial" w:hAnsi="Arial" w:cs="Arial"/>
                <w:szCs w:val="20"/>
              </w:rPr>
              <w:t>IV</w:t>
            </w:r>
          </w:p>
        </w:tc>
        <w:tc>
          <w:tcPr>
            <w:tcW w:w="2455" w:type="dxa"/>
            <w:tcBorders>
              <w:top w:val="single" w:sz="4" w:space="0" w:color="221F1F"/>
              <w:left w:val="nil"/>
              <w:bottom w:val="single" w:sz="4" w:space="0" w:color="221F1F"/>
              <w:right w:val="nil"/>
            </w:tcBorders>
          </w:tcPr>
          <w:p w14:paraId="65A127DA" w14:textId="31622BC2" w:rsidR="0026097E" w:rsidRPr="0074743A" w:rsidRDefault="00735C3F">
            <w:pPr>
              <w:spacing w:after="0" w:line="259" w:lineRule="auto"/>
              <w:ind w:firstLine="0"/>
              <w:jc w:val="left"/>
              <w:rPr>
                <w:szCs w:val="20"/>
              </w:rPr>
            </w:pPr>
            <w:r w:rsidRPr="0074743A">
              <w:rPr>
                <w:rFonts w:ascii="宋体" w:eastAsia="宋体" w:hAnsi="宋体" w:cs="宋体" w:hint="eastAsia"/>
                <w:szCs w:val="20"/>
              </w:rPr>
              <w:t>口服</w:t>
            </w:r>
          </w:p>
        </w:tc>
        <w:tc>
          <w:tcPr>
            <w:tcW w:w="1476" w:type="dxa"/>
            <w:tcBorders>
              <w:top w:val="single" w:sz="4" w:space="0" w:color="221F1F"/>
              <w:left w:val="nil"/>
              <w:bottom w:val="single" w:sz="4" w:space="0" w:color="221F1F"/>
              <w:right w:val="nil"/>
            </w:tcBorders>
          </w:tcPr>
          <w:p w14:paraId="7282BCD8" w14:textId="37291B73" w:rsidR="0026097E" w:rsidRPr="0074743A" w:rsidRDefault="00735C3F">
            <w:pPr>
              <w:spacing w:after="0" w:line="259" w:lineRule="auto"/>
              <w:ind w:firstLine="0"/>
              <w:jc w:val="left"/>
              <w:rPr>
                <w:szCs w:val="20"/>
              </w:rPr>
            </w:pPr>
            <w:r w:rsidRPr="0074743A">
              <w:rPr>
                <w:rFonts w:ascii="宋体" w:eastAsia="宋体" w:hAnsi="宋体" w:cs="宋体" w:hint="eastAsia"/>
                <w:szCs w:val="20"/>
              </w:rPr>
              <w:t>其他途径</w:t>
            </w:r>
          </w:p>
        </w:tc>
        <w:tc>
          <w:tcPr>
            <w:tcW w:w="1950" w:type="dxa"/>
            <w:tcBorders>
              <w:top w:val="single" w:sz="4" w:space="0" w:color="221F1F"/>
              <w:left w:val="nil"/>
              <w:bottom w:val="single" w:sz="4" w:space="0" w:color="221F1F"/>
              <w:right w:val="nil"/>
            </w:tcBorders>
          </w:tcPr>
          <w:p w14:paraId="1C93A4D4" w14:textId="0D106D27" w:rsidR="0026097E" w:rsidRPr="0074743A" w:rsidRDefault="009A0AA3">
            <w:pPr>
              <w:spacing w:after="0" w:line="259" w:lineRule="auto"/>
              <w:ind w:left="68" w:firstLine="0"/>
              <w:jc w:val="left"/>
              <w:rPr>
                <w:szCs w:val="20"/>
              </w:rPr>
            </w:pPr>
            <w:proofErr w:type="gramStart"/>
            <w:r>
              <w:rPr>
                <w:rFonts w:ascii="宋体" w:eastAsia="宋体" w:hAnsi="宋体" w:cs="宋体" w:hint="eastAsia"/>
                <w:szCs w:val="20"/>
              </w:rPr>
              <w:t>树值</w:t>
            </w:r>
            <w:r w:rsidRPr="009A0AA3">
              <w:rPr>
                <w:rFonts w:ascii="宋体" w:eastAsia="宋体" w:hAnsi="宋体" w:cs="宋体" w:hint="eastAsia"/>
                <w:szCs w:val="20"/>
              </w:rPr>
              <w:t>选择</w:t>
            </w:r>
            <w:proofErr w:type="gramEnd"/>
            <w:r w:rsidRPr="009A0AA3">
              <w:rPr>
                <w:rFonts w:ascii="宋体" w:eastAsia="宋体" w:hAnsi="宋体" w:cs="宋体" w:hint="eastAsia"/>
                <w:szCs w:val="20"/>
              </w:rPr>
              <w:t>的理由</w:t>
            </w:r>
          </w:p>
        </w:tc>
      </w:tr>
      <w:tr w:rsidR="0026097E" w:rsidRPr="0074743A" w14:paraId="0928A17A" w14:textId="77777777" w:rsidTr="009A0AA3">
        <w:trPr>
          <w:trHeight w:val="1398"/>
        </w:trPr>
        <w:tc>
          <w:tcPr>
            <w:tcW w:w="4536" w:type="dxa"/>
            <w:gridSpan w:val="2"/>
            <w:tcBorders>
              <w:top w:val="single" w:sz="4" w:space="0" w:color="221F1F"/>
              <w:left w:val="nil"/>
              <w:bottom w:val="single" w:sz="8" w:space="0" w:color="221F1F"/>
              <w:right w:val="nil"/>
            </w:tcBorders>
          </w:tcPr>
          <w:p w14:paraId="63A92651" w14:textId="77777777" w:rsidR="0026097E" w:rsidRPr="0074743A" w:rsidRDefault="00284695">
            <w:pPr>
              <w:spacing w:after="0" w:line="259" w:lineRule="auto"/>
              <w:ind w:firstLine="0"/>
              <w:jc w:val="left"/>
              <w:rPr>
                <w:szCs w:val="20"/>
              </w:rPr>
            </w:pPr>
            <w:proofErr w:type="spellStart"/>
            <w:r w:rsidRPr="0074743A">
              <w:rPr>
                <w:rFonts w:ascii="Arial" w:eastAsia="Arial" w:hAnsi="Arial" w:cs="Arial"/>
                <w:szCs w:val="20"/>
              </w:rPr>
              <w:t>PoD</w:t>
            </w:r>
            <w:proofErr w:type="spellEnd"/>
          </w:p>
          <w:p w14:paraId="6B2FEB08" w14:textId="56AA9BAD" w:rsidR="0026097E" w:rsidRPr="0074743A" w:rsidRDefault="00735C3F">
            <w:pPr>
              <w:spacing w:after="0" w:line="259" w:lineRule="auto"/>
              <w:ind w:firstLine="0"/>
              <w:jc w:val="left"/>
              <w:rPr>
                <w:szCs w:val="20"/>
              </w:rPr>
            </w:pPr>
            <w:r w:rsidRPr="0074743A">
              <w:rPr>
                <w:rFonts w:ascii="宋体" w:eastAsia="宋体" w:hAnsi="宋体" w:cs="宋体" w:hint="eastAsia"/>
                <w:szCs w:val="20"/>
              </w:rPr>
              <w:t>种间变异</w:t>
            </w:r>
            <w:r w:rsidR="00284695" w:rsidRPr="0074743A">
              <w:rPr>
                <w:rFonts w:ascii="Arial" w:eastAsia="Arial" w:hAnsi="Arial" w:cs="Arial"/>
                <w:szCs w:val="20"/>
              </w:rPr>
              <w:t>(F1)</w:t>
            </w:r>
          </w:p>
          <w:p w14:paraId="28588A8B" w14:textId="395958D4" w:rsidR="0026097E" w:rsidRPr="0074743A" w:rsidRDefault="00735C3F">
            <w:pPr>
              <w:spacing w:after="0" w:line="259" w:lineRule="auto"/>
              <w:ind w:firstLine="0"/>
              <w:jc w:val="left"/>
              <w:rPr>
                <w:szCs w:val="20"/>
              </w:rPr>
            </w:pPr>
            <w:r w:rsidRPr="0074743A">
              <w:rPr>
                <w:rFonts w:ascii="宋体" w:eastAsia="宋体" w:hAnsi="宋体" w:cs="宋体" w:hint="eastAsia"/>
                <w:szCs w:val="20"/>
              </w:rPr>
              <w:t>种内变异性</w:t>
            </w:r>
            <w:r w:rsidR="00284695" w:rsidRPr="0074743A">
              <w:rPr>
                <w:rFonts w:ascii="Arial" w:eastAsia="Arial" w:hAnsi="Arial" w:cs="Arial"/>
                <w:szCs w:val="20"/>
              </w:rPr>
              <w:t>(F2)</w:t>
            </w:r>
          </w:p>
          <w:p w14:paraId="67C7BB0E" w14:textId="10315C84" w:rsidR="0026097E" w:rsidRPr="0074743A" w:rsidRDefault="00735C3F">
            <w:pPr>
              <w:spacing w:after="0" w:line="259" w:lineRule="auto"/>
              <w:ind w:firstLine="0"/>
              <w:jc w:val="left"/>
              <w:rPr>
                <w:szCs w:val="20"/>
              </w:rPr>
            </w:pPr>
            <w:r w:rsidRPr="0074743A">
              <w:rPr>
                <w:rFonts w:ascii="宋体" w:eastAsia="宋体" w:hAnsi="宋体" w:cs="宋体" w:hint="eastAsia"/>
                <w:szCs w:val="20"/>
              </w:rPr>
              <w:t>曝光时间</w:t>
            </w:r>
            <w:r w:rsidR="00284695" w:rsidRPr="0074743A">
              <w:rPr>
                <w:rFonts w:ascii="Arial" w:eastAsia="Arial" w:hAnsi="Arial" w:cs="Arial"/>
                <w:szCs w:val="20"/>
              </w:rPr>
              <w:t>(F3)</w:t>
            </w:r>
          </w:p>
          <w:p w14:paraId="745FE9A4" w14:textId="551F4D66" w:rsidR="0026097E" w:rsidRPr="0074743A" w:rsidRDefault="00735C3F">
            <w:pPr>
              <w:spacing w:after="0" w:line="259" w:lineRule="auto"/>
              <w:ind w:firstLine="0"/>
              <w:jc w:val="left"/>
              <w:rPr>
                <w:szCs w:val="20"/>
              </w:rPr>
            </w:pPr>
            <w:r w:rsidRPr="0074743A">
              <w:rPr>
                <w:rFonts w:ascii="宋体" w:eastAsia="宋体" w:hAnsi="宋体" w:cs="宋体" w:hint="eastAsia"/>
                <w:szCs w:val="20"/>
              </w:rPr>
              <w:t>严重程度</w:t>
            </w:r>
            <w:r w:rsidR="00284695" w:rsidRPr="0074743A">
              <w:rPr>
                <w:rFonts w:ascii="Arial" w:eastAsia="Arial" w:hAnsi="Arial" w:cs="Arial"/>
                <w:szCs w:val="20"/>
              </w:rPr>
              <w:t>(F4)</w:t>
            </w:r>
          </w:p>
          <w:p w14:paraId="1E932574" w14:textId="4E5A4B67" w:rsidR="0026097E" w:rsidRPr="0074743A" w:rsidRDefault="00284695">
            <w:pPr>
              <w:spacing w:after="0" w:line="259" w:lineRule="auto"/>
              <w:ind w:firstLine="0"/>
              <w:jc w:val="left"/>
              <w:rPr>
                <w:szCs w:val="20"/>
              </w:rPr>
            </w:pPr>
            <w:r w:rsidRPr="0074743A">
              <w:rPr>
                <w:rFonts w:ascii="Arial" w:eastAsia="Arial" w:hAnsi="Arial" w:cs="Arial"/>
                <w:szCs w:val="20"/>
              </w:rPr>
              <w:t xml:space="preserve">LOAEL2 </w:t>
            </w:r>
            <w:r w:rsidR="00735C3F" w:rsidRPr="0074743A">
              <w:rPr>
                <w:rFonts w:ascii="宋体" w:eastAsia="宋体" w:hAnsi="宋体" w:cs="宋体" w:hint="eastAsia"/>
                <w:szCs w:val="20"/>
              </w:rPr>
              <w:t>到</w:t>
            </w:r>
            <w:r w:rsidRPr="0074743A">
              <w:rPr>
                <w:rFonts w:ascii="Arial" w:eastAsia="Arial" w:hAnsi="Arial" w:cs="Arial"/>
                <w:szCs w:val="20"/>
              </w:rPr>
              <w:t xml:space="preserve"> NOAEL3 (F5)</w:t>
            </w:r>
          </w:p>
          <w:p w14:paraId="0E1083C6" w14:textId="4D8D9A15" w:rsidR="0026097E" w:rsidRPr="0074743A" w:rsidRDefault="00735C3F">
            <w:pPr>
              <w:spacing w:after="0" w:line="259" w:lineRule="auto"/>
              <w:ind w:firstLine="0"/>
              <w:jc w:val="left"/>
              <w:rPr>
                <w:szCs w:val="20"/>
              </w:rPr>
            </w:pPr>
            <w:r w:rsidRPr="0074743A">
              <w:rPr>
                <w:rFonts w:ascii="宋体" w:eastAsia="宋体" w:hAnsi="宋体" w:cs="宋体" w:hint="eastAsia"/>
                <w:szCs w:val="20"/>
              </w:rPr>
              <w:t>数据完整性</w:t>
            </w:r>
          </w:p>
          <w:p w14:paraId="3056EAD3" w14:textId="77777777" w:rsidR="00735C3F" w:rsidRPr="0074743A" w:rsidRDefault="00735C3F">
            <w:pPr>
              <w:spacing w:after="44" w:line="256" w:lineRule="auto"/>
              <w:ind w:right="3450" w:firstLine="0"/>
              <w:jc w:val="left"/>
              <w:rPr>
                <w:rFonts w:ascii="宋体" w:eastAsia="宋体" w:hAnsi="宋体" w:cs="宋体"/>
                <w:szCs w:val="20"/>
              </w:rPr>
            </w:pPr>
            <w:r w:rsidRPr="0074743A">
              <w:rPr>
                <w:rFonts w:ascii="宋体" w:eastAsia="宋体" w:hAnsi="宋体" w:cs="宋体" w:hint="eastAsia"/>
                <w:szCs w:val="20"/>
              </w:rPr>
              <w:t>生物蓄积</w:t>
            </w:r>
          </w:p>
          <w:p w14:paraId="2A9BF1FC" w14:textId="26862E3C" w:rsidR="0026097E" w:rsidRPr="0074743A" w:rsidRDefault="00735C3F">
            <w:pPr>
              <w:spacing w:after="44" w:line="256" w:lineRule="auto"/>
              <w:ind w:right="3450" w:firstLine="0"/>
              <w:jc w:val="left"/>
              <w:rPr>
                <w:szCs w:val="20"/>
              </w:rPr>
            </w:pPr>
            <w:r w:rsidRPr="0074743A">
              <w:rPr>
                <w:rFonts w:ascii="宋体" w:eastAsia="宋体" w:hAnsi="宋体" w:cs="宋体" w:hint="eastAsia"/>
                <w:szCs w:val="20"/>
              </w:rPr>
              <w:t>吸收（α）</w:t>
            </w:r>
          </w:p>
          <w:p w14:paraId="3B9F2D15" w14:textId="77777777" w:rsidR="0026097E" w:rsidRPr="0074743A" w:rsidRDefault="00284695">
            <w:pPr>
              <w:spacing w:after="163" w:line="259" w:lineRule="auto"/>
              <w:ind w:firstLine="0"/>
              <w:jc w:val="left"/>
              <w:rPr>
                <w:szCs w:val="20"/>
              </w:rPr>
            </w:pPr>
            <w:r w:rsidRPr="0074743A">
              <w:rPr>
                <w:rFonts w:ascii="Arial" w:eastAsia="Arial" w:hAnsi="Arial" w:cs="Arial"/>
                <w:szCs w:val="20"/>
              </w:rPr>
              <w:t>F</w:t>
            </w:r>
            <w:r w:rsidRPr="0074743A">
              <w:rPr>
                <w:rFonts w:ascii="Arial" w:eastAsia="Arial" w:hAnsi="Arial" w:cs="Arial"/>
                <w:szCs w:val="20"/>
                <w:vertAlign w:val="subscript"/>
              </w:rPr>
              <w:t>T</w:t>
            </w:r>
          </w:p>
          <w:p w14:paraId="649164FB" w14:textId="77777777" w:rsidR="0026097E" w:rsidRPr="0074743A" w:rsidRDefault="00284695">
            <w:pPr>
              <w:spacing w:after="0" w:line="259" w:lineRule="auto"/>
              <w:ind w:firstLine="0"/>
              <w:jc w:val="left"/>
              <w:rPr>
                <w:szCs w:val="20"/>
              </w:rPr>
            </w:pPr>
            <w:r w:rsidRPr="0074743A">
              <w:rPr>
                <w:rFonts w:ascii="Arial" w:eastAsia="Arial" w:hAnsi="Arial" w:cs="Arial"/>
                <w:szCs w:val="20"/>
              </w:rPr>
              <w:t>HBEL</w:t>
            </w:r>
          </w:p>
        </w:tc>
        <w:tc>
          <w:tcPr>
            <w:tcW w:w="2455" w:type="dxa"/>
            <w:tcBorders>
              <w:top w:val="single" w:sz="4" w:space="0" w:color="221F1F"/>
              <w:left w:val="nil"/>
              <w:bottom w:val="single" w:sz="8" w:space="0" w:color="221F1F"/>
              <w:right w:val="nil"/>
            </w:tcBorders>
          </w:tcPr>
          <w:p w14:paraId="38DBCFAB" w14:textId="77777777" w:rsidR="0026097E" w:rsidRPr="0074743A" w:rsidRDefault="0026097E">
            <w:pPr>
              <w:spacing w:after="160" w:line="259" w:lineRule="auto"/>
              <w:ind w:firstLine="0"/>
              <w:jc w:val="left"/>
              <w:rPr>
                <w:szCs w:val="20"/>
              </w:rPr>
            </w:pPr>
          </w:p>
        </w:tc>
        <w:tc>
          <w:tcPr>
            <w:tcW w:w="1476" w:type="dxa"/>
            <w:tcBorders>
              <w:top w:val="single" w:sz="4" w:space="0" w:color="221F1F"/>
              <w:left w:val="nil"/>
              <w:bottom w:val="single" w:sz="8" w:space="0" w:color="221F1F"/>
              <w:right w:val="nil"/>
            </w:tcBorders>
          </w:tcPr>
          <w:p w14:paraId="63BAAED5" w14:textId="77777777" w:rsidR="0026097E" w:rsidRPr="0074743A" w:rsidRDefault="0026097E">
            <w:pPr>
              <w:spacing w:after="160" w:line="259" w:lineRule="auto"/>
              <w:ind w:firstLine="0"/>
              <w:jc w:val="left"/>
              <w:rPr>
                <w:szCs w:val="20"/>
              </w:rPr>
            </w:pPr>
          </w:p>
        </w:tc>
        <w:tc>
          <w:tcPr>
            <w:tcW w:w="1950" w:type="dxa"/>
            <w:tcBorders>
              <w:top w:val="single" w:sz="4" w:space="0" w:color="221F1F"/>
              <w:left w:val="nil"/>
              <w:bottom w:val="single" w:sz="8" w:space="0" w:color="221F1F"/>
              <w:right w:val="nil"/>
            </w:tcBorders>
            <w:vAlign w:val="bottom"/>
          </w:tcPr>
          <w:p w14:paraId="13824F4B" w14:textId="1405331A" w:rsidR="0026097E" w:rsidRPr="0074743A" w:rsidRDefault="00E44629">
            <w:pPr>
              <w:spacing w:after="0" w:line="259" w:lineRule="auto"/>
              <w:ind w:right="350" w:firstLine="140"/>
              <w:jc w:val="left"/>
              <w:rPr>
                <w:szCs w:val="20"/>
              </w:rPr>
            </w:pPr>
            <w:r w:rsidRPr="0074743A">
              <w:rPr>
                <w:rFonts w:ascii="宋体" w:eastAsia="宋体" w:hAnsi="宋体" w:cs="宋体" w:hint="eastAsia"/>
                <w:szCs w:val="20"/>
              </w:rPr>
              <w:t>所有分配的乘积</w:t>
            </w:r>
            <w:r w:rsidR="00284695" w:rsidRPr="0074743A">
              <w:rPr>
                <w:rFonts w:ascii="Arial" w:eastAsia="Arial" w:hAnsi="Arial" w:cs="Arial"/>
                <w:szCs w:val="20"/>
              </w:rPr>
              <w:t>AF</w:t>
            </w:r>
            <w:r w:rsidR="009A0AA3">
              <w:rPr>
                <w:rFonts w:ascii="Arial" w:eastAsia="Arial" w:hAnsi="Arial" w:cs="Arial"/>
                <w:szCs w:val="20"/>
              </w:rPr>
              <w:t xml:space="preserve"> </w:t>
            </w:r>
            <w:r w:rsidR="00284695" w:rsidRPr="0074743A">
              <w:rPr>
                <w:rFonts w:ascii="Arial" w:eastAsia="Arial" w:hAnsi="Arial" w:cs="Arial"/>
                <w:szCs w:val="20"/>
              </w:rPr>
              <w:t xml:space="preserve"> µg/day for 50</w:t>
            </w:r>
            <w:r w:rsidR="00284695" w:rsidRPr="0074743A">
              <w:rPr>
                <w:rFonts w:ascii="Arial" w:eastAsia="Arial" w:hAnsi="Arial" w:cs="Arial"/>
                <w:i/>
                <w:szCs w:val="20"/>
                <w:vertAlign w:val="superscript"/>
              </w:rPr>
              <w:t xml:space="preserve">B </w:t>
            </w:r>
            <w:r w:rsidR="00284695" w:rsidRPr="0074743A">
              <w:rPr>
                <w:rFonts w:ascii="Arial" w:eastAsia="Arial" w:hAnsi="Arial" w:cs="Arial"/>
                <w:szCs w:val="20"/>
              </w:rPr>
              <w:t xml:space="preserve">kg </w:t>
            </w:r>
            <w:r w:rsidR="009A0AA3">
              <w:rPr>
                <w:rFonts w:ascii="宋体" w:eastAsia="宋体" w:hAnsi="宋体" w:cs="宋体" w:hint="eastAsia"/>
                <w:szCs w:val="20"/>
              </w:rPr>
              <w:t>人</w:t>
            </w:r>
          </w:p>
        </w:tc>
      </w:tr>
      <w:tr w:rsidR="0026097E" w:rsidRPr="0074743A" w14:paraId="412AC926" w14:textId="77777777" w:rsidTr="0074743A">
        <w:trPr>
          <w:trHeight w:val="1761"/>
        </w:trPr>
        <w:tc>
          <w:tcPr>
            <w:tcW w:w="4536" w:type="dxa"/>
            <w:gridSpan w:val="2"/>
            <w:tcBorders>
              <w:top w:val="single" w:sz="8" w:space="0" w:color="221F1F"/>
              <w:left w:val="nil"/>
              <w:bottom w:val="single" w:sz="8" w:space="0" w:color="221F1F"/>
              <w:right w:val="nil"/>
            </w:tcBorders>
          </w:tcPr>
          <w:p w14:paraId="76C785C1" w14:textId="3D1B6A59" w:rsidR="0026097E" w:rsidRPr="0074743A" w:rsidRDefault="00284695" w:rsidP="009A0AA3">
            <w:pPr>
              <w:tabs>
                <w:tab w:val="left" w:pos="1072"/>
              </w:tabs>
              <w:spacing w:after="25" w:line="216" w:lineRule="auto"/>
              <w:ind w:left="120" w:right="3428" w:firstLine="22"/>
              <w:jc w:val="left"/>
              <w:rPr>
                <w:szCs w:val="20"/>
              </w:rPr>
            </w:pPr>
            <w:r w:rsidRPr="009A0AA3">
              <w:rPr>
                <w:rFonts w:ascii="Arial" w:eastAsia="Arial" w:hAnsi="Arial" w:cs="Arial"/>
                <w:iCs/>
                <w:szCs w:val="20"/>
              </w:rPr>
              <w:t xml:space="preserve">A </w:t>
            </w:r>
            <w:proofErr w:type="spellStart"/>
            <w:r w:rsidRPr="009A0AA3">
              <w:rPr>
                <w:rFonts w:ascii="Arial" w:eastAsia="Arial" w:hAnsi="Arial" w:cs="Arial"/>
                <w:iCs/>
                <w:szCs w:val="20"/>
              </w:rPr>
              <w:t>PoD</w:t>
            </w:r>
            <w:proofErr w:type="spellEnd"/>
            <w:r w:rsidRPr="009A0AA3">
              <w:rPr>
                <w:rFonts w:ascii="Arial" w:eastAsia="Arial" w:hAnsi="Arial" w:cs="Arial"/>
                <w:iCs/>
                <w:szCs w:val="20"/>
              </w:rPr>
              <w:t xml:space="preserve"> =</w:t>
            </w:r>
            <w:r w:rsidRPr="009A0AA3">
              <w:rPr>
                <w:rFonts w:ascii="宋体" w:eastAsia="宋体" w:hAnsi="宋体" w:cs="宋体"/>
                <w:szCs w:val="20"/>
              </w:rPr>
              <w:t xml:space="preserve"> </w:t>
            </w:r>
            <w:r w:rsidR="00E44629" w:rsidRPr="0074743A">
              <w:rPr>
                <w:rFonts w:ascii="宋体" w:eastAsia="宋体" w:hAnsi="宋体" w:cs="宋体" w:hint="eastAsia"/>
                <w:szCs w:val="20"/>
              </w:rPr>
              <w:t>出发点</w:t>
            </w:r>
          </w:p>
          <w:p w14:paraId="5F634568" w14:textId="2262ABF9" w:rsidR="0026097E" w:rsidRPr="0074743A" w:rsidRDefault="00284695">
            <w:pPr>
              <w:spacing w:after="0" w:line="259" w:lineRule="auto"/>
              <w:ind w:firstLine="0"/>
              <w:jc w:val="left"/>
              <w:rPr>
                <w:szCs w:val="20"/>
              </w:rPr>
            </w:pPr>
            <w:r w:rsidRPr="0074743A">
              <w:rPr>
                <w:rFonts w:ascii="Arial" w:eastAsia="Arial" w:hAnsi="Arial" w:cs="Arial"/>
                <w:szCs w:val="20"/>
              </w:rPr>
              <w:t xml:space="preserve">LOAEL = </w:t>
            </w:r>
            <w:r w:rsidR="00E44629" w:rsidRPr="0074743A">
              <w:rPr>
                <w:rFonts w:ascii="宋体" w:eastAsia="宋体" w:hAnsi="宋体" w:cs="宋体" w:hint="eastAsia"/>
                <w:szCs w:val="20"/>
              </w:rPr>
              <w:t>出发点</w:t>
            </w:r>
          </w:p>
          <w:p w14:paraId="7E6A9034" w14:textId="7475FE5F" w:rsidR="0026097E" w:rsidRPr="0074743A" w:rsidRDefault="00284695">
            <w:pPr>
              <w:spacing w:after="22" w:line="259" w:lineRule="auto"/>
              <w:ind w:firstLine="0"/>
              <w:jc w:val="left"/>
              <w:rPr>
                <w:szCs w:val="20"/>
              </w:rPr>
            </w:pPr>
            <w:r w:rsidRPr="0074743A">
              <w:rPr>
                <w:rFonts w:ascii="Arial" w:eastAsia="Arial" w:hAnsi="Arial" w:cs="Arial"/>
                <w:szCs w:val="20"/>
              </w:rPr>
              <w:t>NOAEL =</w:t>
            </w:r>
            <w:r w:rsidR="00E44629" w:rsidRPr="0074743A">
              <w:rPr>
                <w:rFonts w:ascii="宋体" w:eastAsia="宋体" w:hAnsi="宋体" w:cs="宋体" w:hint="eastAsia"/>
                <w:szCs w:val="20"/>
              </w:rPr>
              <w:t>最低观察到的不良反应水平</w:t>
            </w:r>
            <w:r w:rsidRPr="0074743A">
              <w:rPr>
                <w:rFonts w:ascii="Arial" w:eastAsia="Arial" w:hAnsi="Arial" w:cs="Arial"/>
                <w:szCs w:val="20"/>
              </w:rPr>
              <w:t>,</w:t>
            </w:r>
          </w:p>
          <w:p w14:paraId="31FBECDD" w14:textId="77777777" w:rsidR="00E44629" w:rsidRPr="0074743A" w:rsidRDefault="00284695">
            <w:pPr>
              <w:spacing w:after="0" w:line="259" w:lineRule="auto"/>
              <w:ind w:right="442" w:firstLine="0"/>
              <w:jc w:val="left"/>
              <w:rPr>
                <w:rFonts w:ascii="宋体" w:eastAsia="宋体" w:hAnsi="宋体" w:cs="宋体"/>
                <w:szCs w:val="20"/>
              </w:rPr>
            </w:pPr>
            <w:r w:rsidRPr="0074743A">
              <w:rPr>
                <w:rFonts w:ascii="Arial" w:eastAsia="Arial" w:hAnsi="Arial" w:cs="Arial"/>
                <w:szCs w:val="20"/>
              </w:rPr>
              <w:t>F</w:t>
            </w:r>
            <w:r w:rsidRPr="0074743A">
              <w:rPr>
                <w:rFonts w:ascii="Arial" w:eastAsia="Arial" w:hAnsi="Arial" w:cs="Arial"/>
                <w:szCs w:val="20"/>
                <w:vertAlign w:val="subscript"/>
              </w:rPr>
              <w:t xml:space="preserve">T </w:t>
            </w:r>
            <w:r w:rsidRPr="0074743A">
              <w:rPr>
                <w:rFonts w:ascii="Arial" w:eastAsia="Arial" w:hAnsi="Arial" w:cs="Arial"/>
                <w:szCs w:val="20"/>
              </w:rPr>
              <w:t>=</w:t>
            </w:r>
            <w:r w:rsidR="00E44629" w:rsidRPr="0074743A">
              <w:rPr>
                <w:rFonts w:ascii="宋体" w:eastAsia="宋体" w:hAnsi="宋体" w:cs="宋体" w:hint="eastAsia"/>
                <w:szCs w:val="20"/>
              </w:rPr>
              <w:t>综合调整因子，</w:t>
            </w:r>
          </w:p>
          <w:p w14:paraId="1C52702C" w14:textId="77777777" w:rsidR="00E44629" w:rsidRPr="0074743A" w:rsidRDefault="00284695">
            <w:pPr>
              <w:spacing w:after="0" w:line="259" w:lineRule="auto"/>
              <w:ind w:right="442" w:firstLine="0"/>
              <w:jc w:val="left"/>
              <w:rPr>
                <w:rFonts w:ascii="Arial" w:eastAsia="Arial" w:hAnsi="Arial" w:cs="Arial"/>
                <w:szCs w:val="20"/>
              </w:rPr>
            </w:pPr>
            <w:r w:rsidRPr="0074743A">
              <w:rPr>
                <w:rFonts w:ascii="Arial" w:eastAsia="Arial" w:hAnsi="Arial" w:cs="Arial"/>
                <w:szCs w:val="20"/>
              </w:rPr>
              <w:t xml:space="preserve"> IV =</w:t>
            </w:r>
            <w:r w:rsidR="00E44629" w:rsidRPr="0074743A">
              <w:rPr>
                <w:rFonts w:ascii="宋体" w:eastAsia="宋体" w:hAnsi="宋体" w:cs="宋体" w:hint="eastAsia"/>
                <w:szCs w:val="20"/>
              </w:rPr>
              <w:t>静脉和吸入</w:t>
            </w:r>
            <w:r w:rsidRPr="0074743A">
              <w:rPr>
                <w:rFonts w:ascii="Arial" w:eastAsia="Arial" w:hAnsi="Arial" w:cs="Arial"/>
                <w:szCs w:val="20"/>
              </w:rPr>
              <w:t>.</w:t>
            </w:r>
          </w:p>
          <w:p w14:paraId="592B0A88" w14:textId="26390555" w:rsidR="0026097E" w:rsidRPr="0074743A" w:rsidRDefault="00284695">
            <w:pPr>
              <w:spacing w:after="0" w:line="259" w:lineRule="auto"/>
              <w:ind w:right="442" w:firstLine="0"/>
              <w:jc w:val="left"/>
              <w:rPr>
                <w:iCs/>
                <w:szCs w:val="20"/>
              </w:rPr>
            </w:pPr>
            <w:r w:rsidRPr="0074743A">
              <w:rPr>
                <w:rFonts w:ascii="Arial" w:eastAsia="Arial" w:hAnsi="Arial" w:cs="Arial"/>
                <w:iCs/>
                <w:szCs w:val="20"/>
              </w:rPr>
              <w:t xml:space="preserve"> </w:t>
            </w:r>
            <w:r w:rsidRPr="0074743A">
              <w:rPr>
                <w:rFonts w:ascii="Arial" w:eastAsia="Arial" w:hAnsi="Arial" w:cs="Arial"/>
                <w:iCs/>
                <w:szCs w:val="20"/>
                <w:vertAlign w:val="superscript"/>
              </w:rPr>
              <w:t>B</w:t>
            </w:r>
            <w:r w:rsidR="00E44629" w:rsidRPr="0074743A">
              <w:rPr>
                <w:iCs/>
                <w:szCs w:val="20"/>
                <w:vertAlign w:val="superscript"/>
              </w:rPr>
              <w:t xml:space="preserve"> </w:t>
            </w:r>
            <w:r w:rsidR="00E44629" w:rsidRPr="0074743A">
              <w:rPr>
                <w:rFonts w:ascii="宋体" w:eastAsia="宋体" w:hAnsi="宋体" w:cs="宋体" w:hint="eastAsia"/>
                <w:iCs/>
                <w:szCs w:val="20"/>
              </w:rPr>
              <w:t>当制造业适用于其他人群时，应进行调整。</w:t>
            </w:r>
          </w:p>
        </w:tc>
        <w:tc>
          <w:tcPr>
            <w:tcW w:w="2455" w:type="dxa"/>
            <w:tcBorders>
              <w:top w:val="single" w:sz="8" w:space="0" w:color="221F1F"/>
              <w:left w:val="nil"/>
              <w:bottom w:val="single" w:sz="8" w:space="0" w:color="221F1F"/>
              <w:right w:val="nil"/>
            </w:tcBorders>
            <w:vAlign w:val="bottom"/>
          </w:tcPr>
          <w:p w14:paraId="633FF61F" w14:textId="0F80DE2D" w:rsidR="0026097E" w:rsidRPr="0074743A" w:rsidRDefault="00284695">
            <w:pPr>
              <w:spacing w:after="0" w:line="259" w:lineRule="auto"/>
              <w:ind w:left="-880" w:right="837" w:firstLine="0"/>
              <w:jc w:val="center"/>
              <w:rPr>
                <w:szCs w:val="20"/>
              </w:rPr>
            </w:pPr>
            <w:r w:rsidRPr="0074743A">
              <w:rPr>
                <w:rFonts w:ascii="Arial" w:eastAsia="Arial" w:hAnsi="Arial" w:cs="Arial"/>
                <w:b/>
                <w:szCs w:val="20"/>
              </w:rPr>
              <w:t>TAB</w:t>
            </w:r>
            <w:r w:rsidR="00E44629" w:rsidRPr="0074743A">
              <w:rPr>
                <w:rFonts w:ascii="Arial" w:eastAsia="Arial" w:hAnsi="Arial" w:cs="Arial"/>
                <w:b/>
                <w:szCs w:val="20"/>
              </w:rPr>
              <w:t xml:space="preserve">     </w:t>
            </w:r>
            <w:r w:rsidR="00E44629" w:rsidRPr="0074743A">
              <w:rPr>
                <w:rFonts w:ascii="宋体" w:eastAsia="宋体" w:hAnsi="宋体" w:cs="宋体" w:hint="eastAsia"/>
                <w:b/>
                <w:szCs w:val="20"/>
              </w:rPr>
              <w:t>表</w:t>
            </w:r>
            <w:r w:rsidRPr="0074743A">
              <w:rPr>
                <w:rFonts w:ascii="Arial" w:eastAsia="Arial" w:hAnsi="Arial" w:cs="Arial"/>
                <w:b/>
                <w:szCs w:val="20"/>
              </w:rPr>
              <w:t xml:space="preserve"> X1.7 </w:t>
            </w:r>
            <w:r w:rsidR="00E44629" w:rsidRPr="0074743A">
              <w:rPr>
                <w:rFonts w:ascii="宋体" w:eastAsia="宋体" w:hAnsi="宋体" w:cs="宋体" w:hint="eastAsia"/>
                <w:b/>
                <w:szCs w:val="20"/>
              </w:rPr>
              <w:t>结论</w:t>
            </w:r>
          </w:p>
        </w:tc>
        <w:tc>
          <w:tcPr>
            <w:tcW w:w="1476" w:type="dxa"/>
            <w:tcBorders>
              <w:top w:val="single" w:sz="8" w:space="0" w:color="221F1F"/>
              <w:left w:val="nil"/>
              <w:bottom w:val="single" w:sz="8" w:space="0" w:color="221F1F"/>
              <w:right w:val="nil"/>
            </w:tcBorders>
          </w:tcPr>
          <w:p w14:paraId="27D1E0A0" w14:textId="77777777" w:rsidR="0026097E" w:rsidRPr="0074743A" w:rsidRDefault="0026097E">
            <w:pPr>
              <w:spacing w:after="160" w:line="259" w:lineRule="auto"/>
              <w:ind w:firstLine="0"/>
              <w:jc w:val="left"/>
              <w:rPr>
                <w:szCs w:val="20"/>
              </w:rPr>
            </w:pPr>
          </w:p>
        </w:tc>
        <w:tc>
          <w:tcPr>
            <w:tcW w:w="1950" w:type="dxa"/>
            <w:tcBorders>
              <w:top w:val="single" w:sz="8" w:space="0" w:color="221F1F"/>
              <w:left w:val="nil"/>
              <w:bottom w:val="single" w:sz="8" w:space="0" w:color="221F1F"/>
              <w:right w:val="nil"/>
            </w:tcBorders>
          </w:tcPr>
          <w:p w14:paraId="39A31A0A" w14:textId="77777777" w:rsidR="0026097E" w:rsidRPr="0074743A" w:rsidRDefault="0026097E">
            <w:pPr>
              <w:spacing w:after="160" w:line="259" w:lineRule="auto"/>
              <w:ind w:firstLine="0"/>
              <w:jc w:val="left"/>
              <w:rPr>
                <w:szCs w:val="20"/>
              </w:rPr>
            </w:pPr>
          </w:p>
        </w:tc>
      </w:tr>
      <w:tr w:rsidR="0026097E" w:rsidRPr="0074743A" w14:paraId="7673FFC9" w14:textId="77777777" w:rsidTr="009A0AA3">
        <w:trPr>
          <w:trHeight w:val="919"/>
        </w:trPr>
        <w:tc>
          <w:tcPr>
            <w:tcW w:w="1843" w:type="dxa"/>
            <w:tcBorders>
              <w:top w:val="single" w:sz="8" w:space="0" w:color="221F1F"/>
              <w:left w:val="nil"/>
              <w:bottom w:val="single" w:sz="8" w:space="0" w:color="221F1F"/>
              <w:right w:val="nil"/>
            </w:tcBorders>
          </w:tcPr>
          <w:p w14:paraId="217396A4" w14:textId="071BBE8D" w:rsidR="0026097E" w:rsidRPr="0074743A" w:rsidRDefault="00284695">
            <w:pPr>
              <w:spacing w:after="25" w:line="259" w:lineRule="auto"/>
              <w:ind w:firstLine="0"/>
              <w:jc w:val="left"/>
              <w:rPr>
                <w:szCs w:val="20"/>
              </w:rPr>
            </w:pPr>
            <w:r w:rsidRPr="0074743A">
              <w:rPr>
                <w:rFonts w:ascii="Arial" w:eastAsia="Arial" w:hAnsi="Arial" w:cs="Arial"/>
                <w:szCs w:val="20"/>
              </w:rPr>
              <w:t>HBEL</w:t>
            </w:r>
            <w:r w:rsidR="00E44629" w:rsidRPr="0074743A">
              <w:rPr>
                <w:rFonts w:ascii="宋体" w:eastAsia="宋体" w:hAnsi="宋体" w:cs="宋体" w:hint="eastAsia"/>
                <w:szCs w:val="20"/>
                <w:vertAlign w:val="subscript"/>
              </w:rPr>
              <w:t>口服</w:t>
            </w:r>
          </w:p>
          <w:p w14:paraId="6A66D144" w14:textId="44C33C52" w:rsidR="0026097E" w:rsidRPr="0074743A" w:rsidRDefault="00284695">
            <w:pPr>
              <w:spacing w:after="40" w:line="259" w:lineRule="auto"/>
              <w:ind w:firstLine="0"/>
              <w:jc w:val="left"/>
              <w:rPr>
                <w:szCs w:val="20"/>
              </w:rPr>
            </w:pPr>
            <w:r w:rsidRPr="0074743A">
              <w:rPr>
                <w:rFonts w:ascii="Arial" w:eastAsia="Arial" w:hAnsi="Arial" w:cs="Arial"/>
                <w:szCs w:val="20"/>
              </w:rPr>
              <w:t>HBEL</w:t>
            </w:r>
            <w:r w:rsidR="00E44629" w:rsidRPr="0074743A">
              <w:rPr>
                <w:rFonts w:ascii="宋体" w:eastAsia="宋体" w:hAnsi="宋体" w:cs="宋体" w:hint="eastAsia"/>
                <w:szCs w:val="20"/>
              </w:rPr>
              <w:t>静脉</w:t>
            </w:r>
          </w:p>
          <w:p w14:paraId="057706AE" w14:textId="47272287" w:rsidR="0026097E" w:rsidRPr="0074743A" w:rsidRDefault="00284695">
            <w:pPr>
              <w:spacing w:after="0" w:line="259" w:lineRule="auto"/>
              <w:ind w:firstLine="0"/>
              <w:jc w:val="left"/>
              <w:rPr>
                <w:szCs w:val="20"/>
              </w:rPr>
            </w:pPr>
            <w:proofErr w:type="spellStart"/>
            <w:r w:rsidRPr="0074743A">
              <w:rPr>
                <w:rFonts w:ascii="Arial" w:eastAsia="Arial" w:hAnsi="Arial" w:cs="Arial"/>
                <w:szCs w:val="20"/>
              </w:rPr>
              <w:t>HBEL</w:t>
            </w:r>
            <w:r w:rsidRPr="0074743A">
              <w:rPr>
                <w:rFonts w:ascii="Arial" w:eastAsia="Arial" w:hAnsi="Arial" w:cs="Arial"/>
                <w:szCs w:val="20"/>
                <w:vertAlign w:val="subscript"/>
              </w:rPr>
              <w:t>r</w:t>
            </w:r>
            <w:proofErr w:type="spellEnd"/>
            <w:r w:rsidR="00E44629" w:rsidRPr="0074743A">
              <w:rPr>
                <w:rFonts w:ascii="宋体" w:eastAsia="宋体" w:hAnsi="宋体" w:cs="宋体" w:hint="eastAsia"/>
                <w:szCs w:val="20"/>
                <w:vertAlign w:val="subscript"/>
              </w:rPr>
              <w:t>其他途径</w:t>
            </w:r>
          </w:p>
          <w:p w14:paraId="4248070B" w14:textId="3B7A174A" w:rsidR="0026097E" w:rsidRPr="0074743A" w:rsidRDefault="00E44629">
            <w:pPr>
              <w:spacing w:after="0" w:line="259" w:lineRule="auto"/>
              <w:ind w:firstLine="0"/>
              <w:jc w:val="left"/>
              <w:rPr>
                <w:szCs w:val="20"/>
              </w:rPr>
            </w:pPr>
            <w:r w:rsidRPr="0074743A">
              <w:rPr>
                <w:rFonts w:ascii="宋体" w:eastAsia="宋体" w:hAnsi="宋体" w:cs="宋体" w:hint="eastAsia"/>
                <w:szCs w:val="20"/>
              </w:rPr>
              <w:t>关键影响</w:t>
            </w:r>
          </w:p>
          <w:p w14:paraId="604315EC" w14:textId="36CA5696" w:rsidR="0026097E" w:rsidRPr="0074743A" w:rsidRDefault="00E44629">
            <w:pPr>
              <w:spacing w:after="0" w:line="259" w:lineRule="auto"/>
              <w:ind w:firstLine="0"/>
              <w:jc w:val="left"/>
              <w:rPr>
                <w:szCs w:val="20"/>
              </w:rPr>
            </w:pPr>
            <w:r w:rsidRPr="0074743A">
              <w:rPr>
                <w:rFonts w:ascii="宋体" w:eastAsia="宋体" w:hAnsi="宋体" w:cs="宋体" w:hint="eastAsia"/>
                <w:szCs w:val="20"/>
              </w:rPr>
              <w:t>健康危害</w:t>
            </w:r>
          </w:p>
        </w:tc>
        <w:tc>
          <w:tcPr>
            <w:tcW w:w="8574" w:type="dxa"/>
            <w:gridSpan w:val="4"/>
            <w:tcBorders>
              <w:top w:val="single" w:sz="8" w:space="0" w:color="221F1F"/>
              <w:left w:val="nil"/>
              <w:bottom w:val="single" w:sz="8" w:space="0" w:color="221F1F"/>
              <w:right w:val="nil"/>
            </w:tcBorders>
          </w:tcPr>
          <w:p w14:paraId="08ACF247" w14:textId="77777777" w:rsidR="0026097E" w:rsidRPr="0074743A" w:rsidRDefault="00284695">
            <w:pPr>
              <w:spacing w:after="171" w:line="256" w:lineRule="auto"/>
              <w:ind w:left="2688" w:right="4058" w:firstLine="0"/>
              <w:jc w:val="left"/>
              <w:rPr>
                <w:szCs w:val="20"/>
              </w:rPr>
            </w:pPr>
            <w:r w:rsidRPr="0074743A">
              <w:rPr>
                <w:rFonts w:ascii="Arial" w:eastAsia="Arial" w:hAnsi="Arial" w:cs="Arial"/>
                <w:szCs w:val="20"/>
              </w:rPr>
              <w:t>µg/day µg/day µg/day</w:t>
            </w:r>
          </w:p>
          <w:p w14:paraId="6DD744B7" w14:textId="402DA6DF" w:rsidR="0026097E" w:rsidRPr="0074743A" w:rsidRDefault="00E44629">
            <w:pPr>
              <w:spacing w:after="0" w:line="259" w:lineRule="auto"/>
              <w:ind w:left="2688" w:firstLine="0"/>
              <w:jc w:val="left"/>
              <w:rPr>
                <w:iCs/>
                <w:szCs w:val="20"/>
              </w:rPr>
            </w:pPr>
            <w:r w:rsidRPr="0074743A">
              <w:rPr>
                <w:rFonts w:ascii="宋体" w:eastAsia="宋体" w:hAnsi="宋体" w:cs="宋体" w:hint="eastAsia"/>
                <w:iCs/>
                <w:szCs w:val="20"/>
              </w:rPr>
              <w:t>可选的</w:t>
            </w:r>
          </w:p>
        </w:tc>
      </w:tr>
      <w:tr w:rsidR="0026097E" w:rsidRPr="0074743A" w14:paraId="5C5CEDDF" w14:textId="77777777" w:rsidTr="009A0AA3">
        <w:trPr>
          <w:trHeight w:val="351"/>
        </w:trPr>
        <w:tc>
          <w:tcPr>
            <w:tcW w:w="1843" w:type="dxa"/>
            <w:tcBorders>
              <w:top w:val="single" w:sz="8" w:space="0" w:color="221F1F"/>
              <w:left w:val="nil"/>
              <w:bottom w:val="nil"/>
              <w:right w:val="nil"/>
            </w:tcBorders>
          </w:tcPr>
          <w:p w14:paraId="5B28C405" w14:textId="77777777" w:rsidR="0026097E" w:rsidRPr="0074743A" w:rsidRDefault="0026097E">
            <w:pPr>
              <w:spacing w:after="160" w:line="259" w:lineRule="auto"/>
              <w:ind w:firstLine="0"/>
              <w:jc w:val="left"/>
              <w:rPr>
                <w:szCs w:val="20"/>
              </w:rPr>
            </w:pPr>
          </w:p>
        </w:tc>
        <w:tc>
          <w:tcPr>
            <w:tcW w:w="8574" w:type="dxa"/>
            <w:gridSpan w:val="4"/>
            <w:tcBorders>
              <w:top w:val="single" w:sz="8" w:space="0" w:color="221F1F"/>
              <w:left w:val="nil"/>
              <w:bottom w:val="nil"/>
              <w:right w:val="nil"/>
            </w:tcBorders>
            <w:vAlign w:val="bottom"/>
          </w:tcPr>
          <w:p w14:paraId="45F4D35A" w14:textId="379BC6CA" w:rsidR="0026097E" w:rsidRPr="0074743A" w:rsidRDefault="00284695" w:rsidP="009A0AA3">
            <w:pPr>
              <w:spacing w:after="0" w:line="259" w:lineRule="auto"/>
              <w:ind w:firstLineChars="595" w:firstLine="1195"/>
              <w:jc w:val="left"/>
              <w:rPr>
                <w:szCs w:val="20"/>
              </w:rPr>
            </w:pPr>
            <w:r w:rsidRPr="0074743A">
              <w:rPr>
                <w:b/>
                <w:szCs w:val="20"/>
              </w:rPr>
              <w:t>X2.</w:t>
            </w:r>
            <w:r w:rsidR="00E44629" w:rsidRPr="0074743A">
              <w:rPr>
                <w:szCs w:val="20"/>
              </w:rPr>
              <w:t xml:space="preserve"> </w:t>
            </w:r>
            <w:r w:rsidR="00E44629" w:rsidRPr="0074743A">
              <w:rPr>
                <w:b/>
                <w:szCs w:val="20"/>
              </w:rPr>
              <w:t>OTC HBEL</w:t>
            </w:r>
            <w:r w:rsidR="00E44629" w:rsidRPr="0074743A">
              <w:rPr>
                <w:rFonts w:ascii="宋体" w:eastAsia="宋体" w:hAnsi="宋体" w:cs="宋体" w:hint="eastAsia"/>
                <w:b/>
                <w:szCs w:val="20"/>
              </w:rPr>
              <w:t>计算示例：布洛芬</w:t>
            </w:r>
          </w:p>
        </w:tc>
      </w:tr>
      <w:tr w:rsidR="0026097E" w:rsidRPr="0074743A" w14:paraId="5691966D" w14:textId="77777777" w:rsidTr="009A0AA3">
        <w:trPr>
          <w:trHeight w:val="573"/>
        </w:trPr>
        <w:tc>
          <w:tcPr>
            <w:tcW w:w="1843" w:type="dxa"/>
            <w:tcBorders>
              <w:top w:val="nil"/>
              <w:left w:val="nil"/>
              <w:bottom w:val="single" w:sz="8" w:space="0" w:color="221F1F"/>
              <w:right w:val="nil"/>
            </w:tcBorders>
          </w:tcPr>
          <w:p w14:paraId="741E7D78" w14:textId="097F0F2E" w:rsidR="0026097E" w:rsidRPr="0074743A" w:rsidRDefault="00284695">
            <w:pPr>
              <w:spacing w:after="63" w:line="259" w:lineRule="auto"/>
              <w:ind w:firstLine="0"/>
              <w:jc w:val="left"/>
              <w:rPr>
                <w:szCs w:val="20"/>
              </w:rPr>
            </w:pPr>
            <w:r w:rsidRPr="0074743A">
              <w:rPr>
                <w:b/>
                <w:szCs w:val="20"/>
              </w:rPr>
              <w:t xml:space="preserve">X2.1 HBEL </w:t>
            </w:r>
            <w:r w:rsidR="00E44629" w:rsidRPr="0074743A">
              <w:rPr>
                <w:rFonts w:ascii="宋体" w:eastAsia="宋体" w:hAnsi="宋体" w:cs="宋体" w:hint="eastAsia"/>
                <w:b/>
                <w:szCs w:val="20"/>
              </w:rPr>
              <w:t>专论</w:t>
            </w:r>
          </w:p>
          <w:p w14:paraId="50C04F4A" w14:textId="4A39CC5C" w:rsidR="0026097E" w:rsidRPr="0074743A" w:rsidRDefault="00284695">
            <w:pPr>
              <w:spacing w:after="0" w:line="259" w:lineRule="auto"/>
              <w:ind w:left="190" w:firstLine="0"/>
              <w:jc w:val="left"/>
              <w:rPr>
                <w:szCs w:val="20"/>
              </w:rPr>
            </w:pPr>
            <w:r w:rsidRPr="0074743A">
              <w:rPr>
                <w:szCs w:val="20"/>
              </w:rPr>
              <w:t>X2.1.1</w:t>
            </w:r>
            <w:r w:rsidR="00E44629" w:rsidRPr="0074743A">
              <w:rPr>
                <w:rFonts w:ascii="宋体" w:eastAsia="宋体" w:hAnsi="宋体" w:cs="宋体" w:hint="eastAsia"/>
                <w:szCs w:val="20"/>
              </w:rPr>
              <w:t>见表</w:t>
            </w:r>
            <w:r w:rsidRPr="0074743A">
              <w:rPr>
                <w:color w:val="C1151A"/>
                <w:szCs w:val="20"/>
              </w:rPr>
              <w:t xml:space="preserve"> X2.1</w:t>
            </w:r>
            <w:r w:rsidRPr="0074743A">
              <w:rPr>
                <w:szCs w:val="20"/>
              </w:rPr>
              <w:t>.</w:t>
            </w:r>
          </w:p>
        </w:tc>
        <w:tc>
          <w:tcPr>
            <w:tcW w:w="8574" w:type="dxa"/>
            <w:gridSpan w:val="4"/>
            <w:tcBorders>
              <w:top w:val="nil"/>
              <w:left w:val="nil"/>
              <w:bottom w:val="single" w:sz="8" w:space="0" w:color="221F1F"/>
              <w:right w:val="nil"/>
            </w:tcBorders>
            <w:vAlign w:val="bottom"/>
          </w:tcPr>
          <w:p w14:paraId="7CAEBCE5" w14:textId="4500089C" w:rsidR="0026097E" w:rsidRPr="0074743A" w:rsidRDefault="00E44629">
            <w:pPr>
              <w:spacing w:after="0" w:line="259" w:lineRule="auto"/>
              <w:ind w:left="1256" w:firstLine="0"/>
              <w:jc w:val="left"/>
              <w:rPr>
                <w:szCs w:val="20"/>
              </w:rPr>
            </w:pPr>
            <w:r w:rsidRPr="0074743A">
              <w:rPr>
                <w:rFonts w:ascii="宋体" w:eastAsia="宋体" w:hAnsi="宋体" w:cs="宋体" w:hint="eastAsia"/>
                <w:b/>
                <w:szCs w:val="20"/>
              </w:rPr>
              <w:t>表</w:t>
            </w:r>
            <w:r w:rsidR="00284695" w:rsidRPr="0074743A">
              <w:rPr>
                <w:rFonts w:ascii="Arial" w:eastAsia="Arial" w:hAnsi="Arial" w:cs="Arial"/>
                <w:b/>
                <w:szCs w:val="20"/>
              </w:rPr>
              <w:t xml:space="preserve"> X2.1 HBEL </w:t>
            </w:r>
            <w:r w:rsidRPr="0074743A">
              <w:rPr>
                <w:rFonts w:ascii="宋体" w:eastAsia="宋体" w:hAnsi="宋体" w:cs="宋体" w:hint="eastAsia"/>
                <w:b/>
                <w:szCs w:val="20"/>
              </w:rPr>
              <w:t>专论</w:t>
            </w:r>
          </w:p>
        </w:tc>
      </w:tr>
      <w:tr w:rsidR="0026097E" w:rsidRPr="0074743A" w14:paraId="6A0EE77F" w14:textId="77777777" w:rsidTr="009A0AA3">
        <w:trPr>
          <w:trHeight w:val="215"/>
        </w:trPr>
        <w:tc>
          <w:tcPr>
            <w:tcW w:w="1843" w:type="dxa"/>
            <w:tcBorders>
              <w:top w:val="single" w:sz="8" w:space="0" w:color="221F1F"/>
              <w:left w:val="nil"/>
              <w:bottom w:val="nil"/>
              <w:right w:val="nil"/>
            </w:tcBorders>
          </w:tcPr>
          <w:p w14:paraId="2A44A98B" w14:textId="391F5BD8" w:rsidR="0026097E" w:rsidRPr="0074743A" w:rsidRDefault="00E44629">
            <w:pPr>
              <w:spacing w:after="0" w:line="259" w:lineRule="auto"/>
              <w:ind w:firstLine="0"/>
              <w:jc w:val="left"/>
              <w:rPr>
                <w:szCs w:val="20"/>
              </w:rPr>
            </w:pPr>
            <w:r w:rsidRPr="0074743A">
              <w:rPr>
                <w:rFonts w:ascii="宋体" w:eastAsia="宋体" w:hAnsi="宋体" w:cs="宋体" w:hint="eastAsia"/>
                <w:szCs w:val="20"/>
              </w:rPr>
              <w:t>物质名称</w:t>
            </w:r>
          </w:p>
        </w:tc>
        <w:tc>
          <w:tcPr>
            <w:tcW w:w="8574" w:type="dxa"/>
            <w:gridSpan w:val="4"/>
            <w:tcBorders>
              <w:top w:val="single" w:sz="8" w:space="0" w:color="221F1F"/>
              <w:left w:val="nil"/>
              <w:bottom w:val="nil"/>
              <w:right w:val="nil"/>
            </w:tcBorders>
          </w:tcPr>
          <w:p w14:paraId="2728FA16" w14:textId="415F44F9" w:rsidR="0026097E" w:rsidRPr="0074743A" w:rsidRDefault="00284695">
            <w:pPr>
              <w:spacing w:after="0" w:line="259" w:lineRule="auto"/>
              <w:ind w:left="178" w:firstLine="0"/>
              <w:jc w:val="left"/>
              <w:rPr>
                <w:szCs w:val="20"/>
              </w:rPr>
            </w:pPr>
            <w:r w:rsidRPr="0074743A">
              <w:rPr>
                <w:rFonts w:ascii="Arial" w:eastAsia="Arial" w:hAnsi="Arial" w:cs="Arial"/>
                <w:szCs w:val="20"/>
              </w:rPr>
              <w:t>Ibuprofen</w:t>
            </w:r>
            <w:r w:rsidR="00E44629" w:rsidRPr="0074743A">
              <w:rPr>
                <w:rFonts w:ascii="宋体" w:eastAsia="宋体" w:hAnsi="宋体" w:cs="宋体" w:hint="eastAsia"/>
                <w:szCs w:val="20"/>
              </w:rPr>
              <w:t>（布洛芬）</w:t>
            </w:r>
          </w:p>
        </w:tc>
      </w:tr>
      <w:tr w:rsidR="0026097E" w:rsidRPr="0074743A" w14:paraId="0BA92E90" w14:textId="77777777" w:rsidTr="009A0AA3">
        <w:trPr>
          <w:trHeight w:val="171"/>
        </w:trPr>
        <w:tc>
          <w:tcPr>
            <w:tcW w:w="1843" w:type="dxa"/>
            <w:tcBorders>
              <w:top w:val="nil"/>
              <w:left w:val="nil"/>
              <w:bottom w:val="nil"/>
              <w:right w:val="nil"/>
            </w:tcBorders>
          </w:tcPr>
          <w:p w14:paraId="58D3D43E" w14:textId="77777777" w:rsidR="0026097E" w:rsidRPr="0074743A" w:rsidRDefault="00284695">
            <w:pPr>
              <w:spacing w:after="0" w:line="259" w:lineRule="auto"/>
              <w:ind w:firstLine="0"/>
              <w:jc w:val="left"/>
              <w:rPr>
                <w:szCs w:val="20"/>
              </w:rPr>
            </w:pPr>
            <w:r w:rsidRPr="0074743A">
              <w:rPr>
                <w:rFonts w:ascii="Arial" w:eastAsia="Arial" w:hAnsi="Arial" w:cs="Arial"/>
                <w:szCs w:val="20"/>
              </w:rPr>
              <w:t>CAS number</w:t>
            </w:r>
          </w:p>
        </w:tc>
        <w:tc>
          <w:tcPr>
            <w:tcW w:w="8574" w:type="dxa"/>
            <w:gridSpan w:val="4"/>
            <w:tcBorders>
              <w:top w:val="nil"/>
              <w:left w:val="nil"/>
              <w:bottom w:val="nil"/>
              <w:right w:val="nil"/>
            </w:tcBorders>
          </w:tcPr>
          <w:p w14:paraId="518237F2" w14:textId="77777777" w:rsidR="0026097E" w:rsidRPr="0074743A" w:rsidRDefault="00284695">
            <w:pPr>
              <w:spacing w:after="0" w:line="259" w:lineRule="auto"/>
              <w:ind w:left="178" w:firstLine="0"/>
              <w:jc w:val="left"/>
              <w:rPr>
                <w:szCs w:val="20"/>
              </w:rPr>
            </w:pPr>
            <w:r w:rsidRPr="0074743A">
              <w:rPr>
                <w:rFonts w:ascii="Arial" w:eastAsia="Arial" w:hAnsi="Arial" w:cs="Arial"/>
                <w:szCs w:val="20"/>
              </w:rPr>
              <w:t>15687-27-1</w:t>
            </w:r>
          </w:p>
        </w:tc>
      </w:tr>
      <w:tr w:rsidR="0026097E" w:rsidRPr="0074743A" w14:paraId="5EA3AA60" w14:textId="77777777" w:rsidTr="009A0AA3">
        <w:trPr>
          <w:trHeight w:val="181"/>
        </w:trPr>
        <w:tc>
          <w:tcPr>
            <w:tcW w:w="1843" w:type="dxa"/>
            <w:tcBorders>
              <w:top w:val="nil"/>
              <w:left w:val="nil"/>
              <w:bottom w:val="nil"/>
              <w:right w:val="nil"/>
            </w:tcBorders>
          </w:tcPr>
          <w:p w14:paraId="746BF026" w14:textId="723A3553" w:rsidR="0026097E" w:rsidRPr="0074743A" w:rsidRDefault="00284695">
            <w:pPr>
              <w:spacing w:after="0" w:line="259" w:lineRule="auto"/>
              <w:ind w:firstLine="0"/>
              <w:jc w:val="left"/>
              <w:rPr>
                <w:szCs w:val="20"/>
              </w:rPr>
            </w:pPr>
            <w:r w:rsidRPr="0074743A">
              <w:rPr>
                <w:rFonts w:ascii="Arial" w:eastAsia="Arial" w:hAnsi="Arial" w:cs="Arial"/>
                <w:szCs w:val="20"/>
              </w:rPr>
              <w:t>HBEL</w:t>
            </w:r>
            <w:r w:rsidR="00E44629" w:rsidRPr="0074743A">
              <w:rPr>
                <w:rFonts w:ascii="宋体" w:eastAsia="宋体" w:hAnsi="宋体" w:cs="宋体" w:hint="eastAsia"/>
                <w:szCs w:val="20"/>
              </w:rPr>
              <w:t>口服</w:t>
            </w:r>
          </w:p>
        </w:tc>
        <w:tc>
          <w:tcPr>
            <w:tcW w:w="8574" w:type="dxa"/>
            <w:gridSpan w:val="4"/>
            <w:tcBorders>
              <w:top w:val="nil"/>
              <w:left w:val="nil"/>
              <w:bottom w:val="nil"/>
              <w:right w:val="nil"/>
            </w:tcBorders>
          </w:tcPr>
          <w:p w14:paraId="6BE8D797" w14:textId="77777777" w:rsidR="0026097E" w:rsidRPr="0074743A" w:rsidRDefault="00284695">
            <w:pPr>
              <w:spacing w:after="0" w:line="259" w:lineRule="auto"/>
              <w:ind w:left="178" w:firstLine="0"/>
              <w:jc w:val="left"/>
              <w:rPr>
                <w:szCs w:val="20"/>
              </w:rPr>
            </w:pPr>
            <w:r w:rsidRPr="0074743A">
              <w:rPr>
                <w:rFonts w:ascii="Arial" w:eastAsia="Arial" w:hAnsi="Arial" w:cs="Arial"/>
                <w:szCs w:val="20"/>
              </w:rPr>
              <w:t>6700 µg/day</w:t>
            </w:r>
          </w:p>
        </w:tc>
      </w:tr>
      <w:tr w:rsidR="0026097E" w:rsidRPr="0074743A" w14:paraId="329519EF" w14:textId="77777777" w:rsidTr="009A0AA3">
        <w:trPr>
          <w:trHeight w:val="171"/>
        </w:trPr>
        <w:tc>
          <w:tcPr>
            <w:tcW w:w="1843" w:type="dxa"/>
            <w:tcBorders>
              <w:top w:val="nil"/>
              <w:left w:val="nil"/>
              <w:bottom w:val="nil"/>
              <w:right w:val="nil"/>
            </w:tcBorders>
          </w:tcPr>
          <w:p w14:paraId="47CBFBB7" w14:textId="15799D48" w:rsidR="0026097E" w:rsidRPr="0074743A" w:rsidRDefault="00284695">
            <w:pPr>
              <w:spacing w:after="0" w:line="259" w:lineRule="auto"/>
              <w:ind w:firstLine="0"/>
              <w:jc w:val="left"/>
              <w:rPr>
                <w:szCs w:val="20"/>
              </w:rPr>
            </w:pPr>
            <w:r w:rsidRPr="0074743A">
              <w:rPr>
                <w:rFonts w:ascii="Arial" w:eastAsia="Arial" w:hAnsi="Arial" w:cs="Arial"/>
                <w:szCs w:val="20"/>
              </w:rPr>
              <w:t>HBEL</w:t>
            </w:r>
            <w:r w:rsidR="00E44629" w:rsidRPr="0074743A">
              <w:rPr>
                <w:rFonts w:ascii="宋体" w:eastAsia="宋体" w:hAnsi="宋体" w:cs="宋体" w:hint="eastAsia"/>
                <w:szCs w:val="20"/>
              </w:rPr>
              <w:t>静脉</w:t>
            </w:r>
          </w:p>
        </w:tc>
        <w:tc>
          <w:tcPr>
            <w:tcW w:w="8574" w:type="dxa"/>
            <w:gridSpan w:val="4"/>
            <w:tcBorders>
              <w:top w:val="nil"/>
              <w:left w:val="nil"/>
              <w:bottom w:val="nil"/>
              <w:right w:val="nil"/>
            </w:tcBorders>
          </w:tcPr>
          <w:p w14:paraId="77848953" w14:textId="77777777" w:rsidR="0026097E" w:rsidRPr="0074743A" w:rsidRDefault="00284695">
            <w:pPr>
              <w:spacing w:after="0" w:line="259" w:lineRule="auto"/>
              <w:ind w:left="178" w:firstLine="0"/>
              <w:jc w:val="left"/>
              <w:rPr>
                <w:szCs w:val="20"/>
              </w:rPr>
            </w:pPr>
            <w:r w:rsidRPr="0074743A">
              <w:rPr>
                <w:rFonts w:ascii="Arial" w:eastAsia="Arial" w:hAnsi="Arial" w:cs="Arial"/>
                <w:szCs w:val="20"/>
              </w:rPr>
              <w:t>3300 µg/day</w:t>
            </w:r>
          </w:p>
        </w:tc>
      </w:tr>
      <w:tr w:rsidR="0026097E" w:rsidRPr="0074743A" w14:paraId="59F31E0E" w14:textId="77777777" w:rsidTr="009A0AA3">
        <w:trPr>
          <w:trHeight w:val="171"/>
        </w:trPr>
        <w:tc>
          <w:tcPr>
            <w:tcW w:w="1843" w:type="dxa"/>
            <w:tcBorders>
              <w:top w:val="nil"/>
              <w:left w:val="nil"/>
              <w:bottom w:val="nil"/>
              <w:right w:val="nil"/>
            </w:tcBorders>
          </w:tcPr>
          <w:p w14:paraId="1D10A524" w14:textId="77777777" w:rsidR="0026097E" w:rsidRPr="0074743A" w:rsidRDefault="00284695">
            <w:pPr>
              <w:spacing w:after="0" w:line="259" w:lineRule="auto"/>
              <w:ind w:firstLine="0"/>
              <w:jc w:val="left"/>
              <w:rPr>
                <w:szCs w:val="20"/>
              </w:rPr>
            </w:pPr>
            <w:proofErr w:type="spellStart"/>
            <w:r w:rsidRPr="0074743A">
              <w:rPr>
                <w:rFonts w:ascii="Arial" w:eastAsia="Arial" w:hAnsi="Arial" w:cs="Arial"/>
                <w:szCs w:val="20"/>
              </w:rPr>
              <w:t>HBEL</w:t>
            </w:r>
            <w:r w:rsidRPr="0074743A">
              <w:rPr>
                <w:rFonts w:ascii="Arial" w:eastAsia="Arial" w:hAnsi="Arial" w:cs="Arial"/>
                <w:szCs w:val="20"/>
                <w:vertAlign w:val="subscript"/>
              </w:rPr>
              <w:t>dermal</w:t>
            </w:r>
            <w:proofErr w:type="spellEnd"/>
          </w:p>
        </w:tc>
        <w:tc>
          <w:tcPr>
            <w:tcW w:w="8574" w:type="dxa"/>
            <w:gridSpan w:val="4"/>
            <w:tcBorders>
              <w:top w:val="nil"/>
              <w:left w:val="nil"/>
              <w:bottom w:val="nil"/>
              <w:right w:val="nil"/>
            </w:tcBorders>
          </w:tcPr>
          <w:p w14:paraId="229C1C37" w14:textId="77777777" w:rsidR="0026097E" w:rsidRPr="0074743A" w:rsidRDefault="00284695">
            <w:pPr>
              <w:spacing w:after="0" w:line="259" w:lineRule="auto"/>
              <w:ind w:left="178" w:firstLine="0"/>
              <w:jc w:val="left"/>
              <w:rPr>
                <w:szCs w:val="20"/>
              </w:rPr>
            </w:pPr>
            <w:r w:rsidRPr="0074743A">
              <w:rPr>
                <w:rFonts w:ascii="Arial" w:eastAsia="Arial" w:hAnsi="Arial" w:cs="Arial"/>
                <w:szCs w:val="20"/>
              </w:rPr>
              <w:t>200 000 µg/day (200 mg/day)</w:t>
            </w:r>
          </w:p>
        </w:tc>
      </w:tr>
      <w:tr w:rsidR="0026097E" w:rsidRPr="0074743A" w14:paraId="64C1B881" w14:textId="77777777" w:rsidTr="009A0AA3">
        <w:trPr>
          <w:trHeight w:val="331"/>
        </w:trPr>
        <w:tc>
          <w:tcPr>
            <w:tcW w:w="1843" w:type="dxa"/>
            <w:tcBorders>
              <w:top w:val="nil"/>
              <w:left w:val="nil"/>
              <w:bottom w:val="nil"/>
              <w:right w:val="nil"/>
            </w:tcBorders>
          </w:tcPr>
          <w:p w14:paraId="5ED4E224" w14:textId="6E82A338" w:rsidR="0026097E" w:rsidRPr="0074743A" w:rsidRDefault="00E44629">
            <w:pPr>
              <w:spacing w:after="0" w:line="259" w:lineRule="auto"/>
              <w:ind w:firstLine="0"/>
              <w:jc w:val="left"/>
              <w:rPr>
                <w:szCs w:val="20"/>
              </w:rPr>
            </w:pPr>
            <w:r w:rsidRPr="0074743A">
              <w:rPr>
                <w:rFonts w:ascii="宋体" w:eastAsia="宋体" w:hAnsi="宋体" w:cs="宋体" w:hint="eastAsia"/>
                <w:szCs w:val="20"/>
              </w:rPr>
              <w:lastRenderedPageBreak/>
              <w:t>关键影响</w:t>
            </w:r>
          </w:p>
        </w:tc>
        <w:tc>
          <w:tcPr>
            <w:tcW w:w="8574" w:type="dxa"/>
            <w:gridSpan w:val="4"/>
            <w:tcBorders>
              <w:top w:val="nil"/>
              <w:left w:val="nil"/>
              <w:bottom w:val="nil"/>
              <w:right w:val="nil"/>
            </w:tcBorders>
          </w:tcPr>
          <w:p w14:paraId="27F45DDD" w14:textId="2D69551D" w:rsidR="0026097E" w:rsidRPr="0074743A" w:rsidRDefault="00E44629">
            <w:pPr>
              <w:spacing w:after="0" w:line="259" w:lineRule="auto"/>
              <w:ind w:left="140" w:hanging="140"/>
              <w:jc w:val="left"/>
              <w:rPr>
                <w:szCs w:val="20"/>
              </w:rPr>
            </w:pPr>
            <w:r w:rsidRPr="0074743A">
              <w:rPr>
                <w:rFonts w:ascii="宋体" w:eastAsia="宋体" w:hAnsi="宋体" w:cs="宋体" w:hint="eastAsia"/>
                <w:szCs w:val="20"/>
              </w:rPr>
              <w:t>恶心，消化不良，胃肠道溃疡</w:t>
            </w:r>
            <w:r w:rsidRPr="0074743A">
              <w:rPr>
                <w:rFonts w:ascii="Arial" w:eastAsia="Arial" w:hAnsi="Arial" w:cs="Arial"/>
                <w:szCs w:val="20"/>
              </w:rPr>
              <w:t>/</w:t>
            </w:r>
            <w:r w:rsidRPr="0074743A">
              <w:rPr>
                <w:rFonts w:ascii="宋体" w:eastAsia="宋体" w:hAnsi="宋体" w:cs="宋体" w:hint="eastAsia"/>
                <w:szCs w:val="20"/>
              </w:rPr>
              <w:t>穿孔</w:t>
            </w:r>
            <w:r w:rsidRPr="0074743A">
              <w:rPr>
                <w:rFonts w:ascii="Arial" w:eastAsia="Arial" w:hAnsi="Arial" w:cs="Arial"/>
                <w:szCs w:val="20"/>
              </w:rPr>
              <w:t>/</w:t>
            </w:r>
            <w:r w:rsidRPr="0074743A">
              <w:rPr>
                <w:rFonts w:ascii="宋体" w:eastAsia="宋体" w:hAnsi="宋体" w:cs="宋体" w:hint="eastAsia"/>
                <w:szCs w:val="20"/>
              </w:rPr>
              <w:t>出血，鼻出血，头晕，皮疹，盐和液体潴留以及高血压。</w:t>
            </w:r>
          </w:p>
        </w:tc>
      </w:tr>
      <w:tr w:rsidR="0026097E" w:rsidRPr="0074743A" w14:paraId="5EEEFA0E" w14:textId="77777777" w:rsidTr="009A0AA3">
        <w:trPr>
          <w:trHeight w:val="160"/>
        </w:trPr>
        <w:tc>
          <w:tcPr>
            <w:tcW w:w="1843" w:type="dxa"/>
            <w:tcBorders>
              <w:top w:val="nil"/>
              <w:left w:val="nil"/>
              <w:bottom w:val="single" w:sz="4" w:space="0" w:color="221F1F"/>
              <w:right w:val="nil"/>
            </w:tcBorders>
          </w:tcPr>
          <w:p w14:paraId="76D0292B" w14:textId="4299CB8C" w:rsidR="0026097E" w:rsidRPr="0074743A" w:rsidRDefault="00E44629">
            <w:pPr>
              <w:spacing w:after="0" w:line="259" w:lineRule="auto"/>
              <w:ind w:firstLine="0"/>
              <w:jc w:val="left"/>
              <w:rPr>
                <w:szCs w:val="20"/>
              </w:rPr>
            </w:pPr>
            <w:r w:rsidRPr="0074743A">
              <w:rPr>
                <w:rFonts w:ascii="宋体" w:eastAsia="宋体" w:hAnsi="宋体" w:cs="宋体" w:hint="eastAsia"/>
                <w:szCs w:val="20"/>
              </w:rPr>
              <w:t>健康危害</w:t>
            </w:r>
          </w:p>
        </w:tc>
        <w:tc>
          <w:tcPr>
            <w:tcW w:w="8574" w:type="dxa"/>
            <w:gridSpan w:val="4"/>
            <w:tcBorders>
              <w:top w:val="nil"/>
              <w:left w:val="nil"/>
              <w:bottom w:val="single" w:sz="4" w:space="0" w:color="221F1F"/>
              <w:right w:val="nil"/>
            </w:tcBorders>
          </w:tcPr>
          <w:p w14:paraId="2AC83D93" w14:textId="37E5D8A8" w:rsidR="0026097E" w:rsidRPr="0074743A" w:rsidRDefault="00E44629">
            <w:pPr>
              <w:spacing w:after="0" w:line="259" w:lineRule="auto"/>
              <w:ind w:firstLine="0"/>
              <w:jc w:val="left"/>
              <w:rPr>
                <w:szCs w:val="20"/>
              </w:rPr>
            </w:pPr>
            <w:r w:rsidRPr="0074743A">
              <w:rPr>
                <w:rFonts w:ascii="宋体" w:eastAsia="宋体" w:hAnsi="宋体" w:cs="宋体" w:hint="eastAsia"/>
                <w:szCs w:val="20"/>
              </w:rPr>
              <w:t>生育力影响，胚胎</w:t>
            </w:r>
            <w:r w:rsidRPr="0074743A">
              <w:rPr>
                <w:rFonts w:ascii="Arial" w:eastAsia="Arial" w:hAnsi="Arial" w:cs="Arial"/>
                <w:szCs w:val="20"/>
              </w:rPr>
              <w:t>-</w:t>
            </w:r>
            <w:r w:rsidRPr="0074743A">
              <w:rPr>
                <w:rFonts w:ascii="宋体" w:eastAsia="宋体" w:hAnsi="宋体" w:cs="宋体" w:hint="eastAsia"/>
                <w:szCs w:val="20"/>
              </w:rPr>
              <w:t>胎儿发育影响</w:t>
            </w:r>
          </w:p>
        </w:tc>
      </w:tr>
      <w:tr w:rsidR="0026097E" w:rsidRPr="0074743A" w14:paraId="018F3305" w14:textId="77777777" w:rsidTr="009A0AA3">
        <w:trPr>
          <w:trHeight w:val="342"/>
        </w:trPr>
        <w:tc>
          <w:tcPr>
            <w:tcW w:w="1843" w:type="dxa"/>
            <w:tcBorders>
              <w:top w:val="single" w:sz="4" w:space="0" w:color="221F1F"/>
              <w:left w:val="nil"/>
              <w:bottom w:val="single" w:sz="4" w:space="0" w:color="221F1F"/>
              <w:right w:val="nil"/>
            </w:tcBorders>
            <w:vAlign w:val="bottom"/>
          </w:tcPr>
          <w:p w14:paraId="10FBDA22" w14:textId="595BE30B" w:rsidR="0026097E" w:rsidRPr="0074743A" w:rsidRDefault="00E44629">
            <w:pPr>
              <w:spacing w:after="0" w:line="259" w:lineRule="auto"/>
              <w:ind w:firstLine="0"/>
              <w:jc w:val="left"/>
              <w:rPr>
                <w:szCs w:val="20"/>
              </w:rPr>
            </w:pPr>
            <w:r w:rsidRPr="0074743A">
              <w:rPr>
                <w:rFonts w:ascii="宋体" w:eastAsia="宋体" w:hAnsi="宋体" w:cs="宋体" w:hint="eastAsia"/>
                <w:b/>
                <w:szCs w:val="20"/>
              </w:rPr>
              <w:t>摘要</w:t>
            </w:r>
          </w:p>
        </w:tc>
        <w:tc>
          <w:tcPr>
            <w:tcW w:w="8574" w:type="dxa"/>
            <w:gridSpan w:val="4"/>
            <w:tcBorders>
              <w:top w:val="single" w:sz="4" w:space="0" w:color="221F1F"/>
              <w:left w:val="nil"/>
              <w:bottom w:val="single" w:sz="4" w:space="0" w:color="221F1F"/>
              <w:right w:val="nil"/>
            </w:tcBorders>
          </w:tcPr>
          <w:p w14:paraId="28EC052C" w14:textId="77777777" w:rsidR="0026097E" w:rsidRPr="0074743A" w:rsidRDefault="0026097E">
            <w:pPr>
              <w:spacing w:after="160" w:line="259" w:lineRule="auto"/>
              <w:ind w:firstLine="0"/>
              <w:jc w:val="left"/>
              <w:rPr>
                <w:szCs w:val="20"/>
              </w:rPr>
            </w:pPr>
          </w:p>
        </w:tc>
      </w:tr>
      <w:tr w:rsidR="0026097E" w:rsidRPr="0074743A" w14:paraId="2135EB30" w14:textId="77777777" w:rsidTr="009A0AA3">
        <w:trPr>
          <w:trHeight w:val="2837"/>
        </w:trPr>
        <w:tc>
          <w:tcPr>
            <w:tcW w:w="1843" w:type="dxa"/>
            <w:tcBorders>
              <w:top w:val="single" w:sz="4" w:space="0" w:color="221F1F"/>
              <w:left w:val="nil"/>
              <w:bottom w:val="single" w:sz="4" w:space="0" w:color="221F1F"/>
              <w:right w:val="nil"/>
            </w:tcBorders>
          </w:tcPr>
          <w:p w14:paraId="6DA4E59C" w14:textId="7D91FC62" w:rsidR="0026097E" w:rsidRPr="0074743A" w:rsidRDefault="00E44629">
            <w:pPr>
              <w:spacing w:after="0" w:line="259" w:lineRule="auto"/>
              <w:ind w:firstLine="0"/>
              <w:jc w:val="left"/>
              <w:rPr>
                <w:szCs w:val="20"/>
              </w:rPr>
            </w:pPr>
            <w:r w:rsidRPr="0074743A">
              <w:rPr>
                <w:rFonts w:ascii="宋体" w:eastAsia="宋体" w:hAnsi="宋体" w:cs="宋体" w:hint="eastAsia"/>
                <w:szCs w:val="20"/>
              </w:rPr>
              <w:t>指示或使用</w:t>
            </w:r>
          </w:p>
        </w:tc>
        <w:tc>
          <w:tcPr>
            <w:tcW w:w="8574" w:type="dxa"/>
            <w:gridSpan w:val="4"/>
            <w:tcBorders>
              <w:top w:val="single" w:sz="4" w:space="0" w:color="221F1F"/>
              <w:left w:val="nil"/>
              <w:bottom w:val="single" w:sz="4" w:space="0" w:color="221F1F"/>
              <w:right w:val="nil"/>
            </w:tcBorders>
          </w:tcPr>
          <w:p w14:paraId="70BFBD3A" w14:textId="77777777" w:rsidR="00E44629" w:rsidRPr="0074743A" w:rsidRDefault="00E44629" w:rsidP="00E44629">
            <w:pPr>
              <w:spacing w:after="2" w:line="253" w:lineRule="auto"/>
              <w:ind w:left="140" w:hanging="140"/>
              <w:jc w:val="left"/>
              <w:rPr>
                <w:rFonts w:ascii="Arial" w:eastAsia="Arial" w:hAnsi="Arial" w:cs="Arial"/>
                <w:szCs w:val="20"/>
              </w:rPr>
            </w:pPr>
            <w:r w:rsidRPr="0074743A">
              <w:rPr>
                <w:rFonts w:ascii="宋体" w:eastAsia="宋体" w:hAnsi="宋体" w:cs="宋体" w:hint="eastAsia"/>
                <w:szCs w:val="20"/>
              </w:rPr>
              <w:t>布</w:t>
            </w:r>
            <w:proofErr w:type="gramStart"/>
            <w:r w:rsidRPr="0074743A">
              <w:rPr>
                <w:rFonts w:ascii="宋体" w:eastAsia="宋体" w:hAnsi="宋体" w:cs="宋体" w:hint="eastAsia"/>
                <w:szCs w:val="20"/>
              </w:rPr>
              <w:t>洛</w:t>
            </w:r>
            <w:proofErr w:type="gramEnd"/>
            <w:r w:rsidRPr="0074743A">
              <w:rPr>
                <w:rFonts w:ascii="宋体" w:eastAsia="宋体" w:hAnsi="宋体" w:cs="宋体" w:hint="eastAsia"/>
                <w:szCs w:val="20"/>
              </w:rPr>
              <w:t>芬是一种非</w:t>
            </w:r>
            <w:proofErr w:type="gramStart"/>
            <w:r w:rsidRPr="0074743A">
              <w:rPr>
                <w:rFonts w:ascii="宋体" w:eastAsia="宋体" w:hAnsi="宋体" w:cs="宋体" w:hint="eastAsia"/>
                <w:szCs w:val="20"/>
              </w:rPr>
              <w:t>甾</w:t>
            </w:r>
            <w:proofErr w:type="gramEnd"/>
            <w:r w:rsidRPr="0074743A">
              <w:rPr>
                <w:rFonts w:ascii="宋体" w:eastAsia="宋体" w:hAnsi="宋体" w:cs="宋体" w:hint="eastAsia"/>
                <w:szCs w:val="20"/>
              </w:rPr>
              <w:t>体抗炎药（</w:t>
            </w:r>
            <w:r w:rsidRPr="0074743A">
              <w:rPr>
                <w:rFonts w:ascii="Arial" w:eastAsia="Arial" w:hAnsi="Arial" w:cs="Arial"/>
                <w:szCs w:val="20"/>
              </w:rPr>
              <w:t>NSAID</w:t>
            </w:r>
            <w:r w:rsidRPr="0074743A">
              <w:rPr>
                <w:rFonts w:ascii="宋体" w:eastAsia="宋体" w:hAnsi="宋体" w:cs="宋体" w:hint="eastAsia"/>
                <w:szCs w:val="20"/>
              </w:rPr>
              <w:t>）。它的化学名称是（</w:t>
            </w:r>
            <w:r w:rsidRPr="0074743A">
              <w:rPr>
                <w:rFonts w:ascii="Arial" w:eastAsia="Arial" w:hAnsi="Arial" w:cs="Arial"/>
                <w:szCs w:val="20"/>
              </w:rPr>
              <w:t>±</w:t>
            </w:r>
            <w:r w:rsidRPr="0074743A">
              <w:rPr>
                <w:rFonts w:ascii="宋体" w:eastAsia="宋体" w:hAnsi="宋体" w:cs="宋体" w:hint="eastAsia"/>
                <w:szCs w:val="20"/>
              </w:rPr>
              <w:t>）</w:t>
            </w:r>
            <w:r w:rsidRPr="0074743A">
              <w:rPr>
                <w:rFonts w:ascii="Arial" w:eastAsia="Arial" w:hAnsi="Arial" w:cs="Arial"/>
                <w:szCs w:val="20"/>
              </w:rPr>
              <w:t>-2-</w:t>
            </w:r>
            <w:r w:rsidRPr="0074743A">
              <w:rPr>
                <w:rFonts w:ascii="宋体" w:eastAsia="宋体" w:hAnsi="宋体" w:cs="宋体" w:hint="eastAsia"/>
                <w:szCs w:val="20"/>
              </w:rPr>
              <w:t>（对异丁基苯基）丙酸。它具有止痛，消炎和解热的作用。与其他</w:t>
            </w:r>
            <w:r w:rsidRPr="0074743A">
              <w:rPr>
                <w:rFonts w:ascii="Arial" w:eastAsia="Arial" w:hAnsi="Arial" w:cs="Arial"/>
                <w:szCs w:val="20"/>
              </w:rPr>
              <w:t>NSAID</w:t>
            </w:r>
            <w:r w:rsidRPr="0074743A">
              <w:rPr>
                <w:rFonts w:ascii="宋体" w:eastAsia="宋体" w:hAnsi="宋体" w:cs="宋体" w:hint="eastAsia"/>
                <w:szCs w:val="20"/>
              </w:rPr>
              <w:t>一样，该药物的治疗效果被认为是由于其对构成前列腺素产生的组成</w:t>
            </w:r>
            <w:proofErr w:type="gramStart"/>
            <w:r w:rsidRPr="0074743A">
              <w:rPr>
                <w:rFonts w:ascii="宋体" w:eastAsia="宋体" w:hAnsi="宋体" w:cs="宋体" w:hint="eastAsia"/>
                <w:szCs w:val="20"/>
              </w:rPr>
              <w:t>性酶环</w:t>
            </w:r>
            <w:proofErr w:type="gramEnd"/>
            <w:r w:rsidRPr="0074743A">
              <w:rPr>
                <w:rFonts w:ascii="宋体" w:eastAsia="宋体" w:hAnsi="宋体" w:cs="宋体" w:hint="eastAsia"/>
                <w:szCs w:val="20"/>
              </w:rPr>
              <w:t>加氧酶和诱导合成的环氧化酶</w:t>
            </w:r>
            <w:r w:rsidRPr="0074743A">
              <w:rPr>
                <w:rFonts w:ascii="Arial" w:eastAsia="Arial" w:hAnsi="Arial" w:cs="Arial"/>
                <w:szCs w:val="20"/>
              </w:rPr>
              <w:t>2</w:t>
            </w:r>
            <w:r w:rsidRPr="0074743A">
              <w:rPr>
                <w:rFonts w:ascii="宋体" w:eastAsia="宋体" w:hAnsi="宋体" w:cs="宋体" w:hint="eastAsia"/>
                <w:szCs w:val="20"/>
              </w:rPr>
              <w:t>（</w:t>
            </w:r>
            <w:r w:rsidRPr="0074743A">
              <w:rPr>
                <w:rFonts w:ascii="Arial" w:eastAsia="Arial" w:hAnsi="Arial" w:cs="Arial"/>
                <w:szCs w:val="20"/>
              </w:rPr>
              <w:t>COX-2</w:t>
            </w:r>
            <w:r w:rsidRPr="0074743A">
              <w:rPr>
                <w:rFonts w:ascii="宋体" w:eastAsia="宋体" w:hAnsi="宋体" w:cs="宋体" w:hint="eastAsia"/>
                <w:szCs w:val="20"/>
              </w:rPr>
              <w:t>）的抑制作用所致。用于增加炎症和疼痛中</w:t>
            </w:r>
            <w:r w:rsidRPr="0074743A">
              <w:rPr>
                <w:rFonts w:ascii="Arial" w:eastAsia="Arial" w:hAnsi="Arial" w:cs="Arial"/>
                <w:szCs w:val="20"/>
              </w:rPr>
              <w:t>PGE2</w:t>
            </w:r>
            <w:r w:rsidRPr="0074743A">
              <w:rPr>
                <w:rFonts w:ascii="宋体" w:eastAsia="宋体" w:hAnsi="宋体" w:cs="宋体" w:hint="eastAsia"/>
                <w:szCs w:val="20"/>
              </w:rPr>
              <w:t>的产生。</w:t>
            </w:r>
          </w:p>
          <w:p w14:paraId="0A31527B" w14:textId="06CB5136" w:rsidR="0026097E" w:rsidRPr="0074743A" w:rsidRDefault="00E44629" w:rsidP="00E44629">
            <w:pPr>
              <w:spacing w:after="0" w:line="259" w:lineRule="auto"/>
              <w:ind w:left="140" w:hanging="140"/>
              <w:jc w:val="left"/>
              <w:rPr>
                <w:szCs w:val="20"/>
              </w:rPr>
            </w:pPr>
            <w:r w:rsidRPr="0074743A">
              <w:rPr>
                <w:rFonts w:ascii="宋体" w:eastAsia="宋体" w:hAnsi="宋体" w:cs="宋体" w:hint="eastAsia"/>
                <w:szCs w:val="20"/>
              </w:rPr>
              <w:t>布洛芬不仅具有镇痛和抗炎作用，而且还具有镇痛作用，可减轻轻度至中度疼痛，例如痛经，牙齿和术后疼痛，以及缓解症状性头痛，包括偏头痛。布</w:t>
            </w:r>
            <w:proofErr w:type="gramStart"/>
            <w:r w:rsidRPr="0074743A">
              <w:rPr>
                <w:rFonts w:ascii="宋体" w:eastAsia="宋体" w:hAnsi="宋体" w:cs="宋体" w:hint="eastAsia"/>
                <w:szCs w:val="20"/>
              </w:rPr>
              <w:t>洛</w:t>
            </w:r>
            <w:proofErr w:type="gramEnd"/>
            <w:r w:rsidRPr="0074743A">
              <w:rPr>
                <w:rFonts w:ascii="宋体" w:eastAsia="宋体" w:hAnsi="宋体" w:cs="宋体" w:hint="eastAsia"/>
                <w:szCs w:val="20"/>
              </w:rPr>
              <w:t>芬还具有镇痛和抗炎作用，可用于治疗类风湿关节炎（包括青少年</w:t>
            </w:r>
            <w:proofErr w:type="gramStart"/>
            <w:r w:rsidRPr="0074743A">
              <w:rPr>
                <w:rFonts w:ascii="宋体" w:eastAsia="宋体" w:hAnsi="宋体" w:cs="宋体" w:hint="eastAsia"/>
                <w:szCs w:val="20"/>
              </w:rPr>
              <w:t>类风湿关节炎或斯蒂</w:t>
            </w:r>
            <w:proofErr w:type="gramEnd"/>
            <w:r w:rsidRPr="0074743A">
              <w:rPr>
                <w:rFonts w:ascii="宋体" w:eastAsia="宋体" w:hAnsi="宋体" w:cs="宋体" w:hint="eastAsia"/>
                <w:szCs w:val="20"/>
              </w:rPr>
              <w:t>尔氏病），强直性脊柱炎，骨关节炎和其他非类风湿性（血清阴性）关节病。在非关节风湿病的治疗中，布洛芬适用于关节周围疾病，例如肩周炎（囊炎），滑囊炎，肌腱炎，腱鞘炎和下背部疼痛。布洛芬还用于软组织损伤，例如扭伤和拉伤。</w:t>
            </w:r>
          </w:p>
        </w:tc>
      </w:tr>
      <w:tr w:rsidR="0026097E" w:rsidRPr="0074743A" w14:paraId="03A5CDC5" w14:textId="77777777" w:rsidTr="009A0AA3">
        <w:trPr>
          <w:trHeight w:val="406"/>
        </w:trPr>
        <w:tc>
          <w:tcPr>
            <w:tcW w:w="1843" w:type="dxa"/>
            <w:tcBorders>
              <w:top w:val="single" w:sz="4" w:space="0" w:color="221F1F"/>
              <w:left w:val="nil"/>
              <w:bottom w:val="single" w:sz="4" w:space="0" w:color="221F1F"/>
              <w:right w:val="nil"/>
            </w:tcBorders>
            <w:vAlign w:val="bottom"/>
          </w:tcPr>
          <w:p w14:paraId="2C8C5440" w14:textId="7469FEDD" w:rsidR="0026097E" w:rsidRPr="0074743A" w:rsidRDefault="00E44629">
            <w:pPr>
              <w:spacing w:after="0" w:line="259" w:lineRule="auto"/>
              <w:ind w:firstLine="0"/>
              <w:jc w:val="left"/>
              <w:rPr>
                <w:szCs w:val="20"/>
              </w:rPr>
            </w:pPr>
            <w:r w:rsidRPr="0074743A">
              <w:rPr>
                <w:rFonts w:ascii="宋体" w:eastAsia="宋体" w:hAnsi="宋体" w:cs="宋体" w:hint="eastAsia"/>
                <w:b/>
                <w:szCs w:val="20"/>
              </w:rPr>
              <w:t>确定的危害</w:t>
            </w:r>
          </w:p>
        </w:tc>
        <w:tc>
          <w:tcPr>
            <w:tcW w:w="8574" w:type="dxa"/>
            <w:gridSpan w:val="4"/>
            <w:tcBorders>
              <w:top w:val="single" w:sz="4" w:space="0" w:color="221F1F"/>
              <w:left w:val="nil"/>
              <w:bottom w:val="single" w:sz="4" w:space="0" w:color="221F1F"/>
              <w:right w:val="nil"/>
            </w:tcBorders>
          </w:tcPr>
          <w:p w14:paraId="1E88DD7D" w14:textId="77777777" w:rsidR="0026097E" w:rsidRPr="0074743A" w:rsidRDefault="0026097E">
            <w:pPr>
              <w:spacing w:after="160" w:line="259" w:lineRule="auto"/>
              <w:ind w:firstLine="0"/>
              <w:jc w:val="left"/>
              <w:rPr>
                <w:szCs w:val="20"/>
              </w:rPr>
            </w:pPr>
          </w:p>
        </w:tc>
      </w:tr>
    </w:tbl>
    <w:p w14:paraId="77C172ED" w14:textId="01AB8942" w:rsidR="008807AE" w:rsidRPr="0074743A" w:rsidRDefault="00E44629" w:rsidP="009A0AA3">
      <w:pPr>
        <w:tabs>
          <w:tab w:val="center" w:pos="6096"/>
        </w:tabs>
        <w:spacing w:after="1" w:line="256" w:lineRule="auto"/>
        <w:ind w:left="-15" w:rightChars="-104" w:right="-208" w:firstLine="0"/>
        <w:jc w:val="center"/>
        <w:rPr>
          <w:rFonts w:ascii="Arial" w:eastAsia="Arial" w:hAnsi="Arial" w:cs="Arial"/>
          <w:szCs w:val="20"/>
        </w:rPr>
      </w:pPr>
      <w:r w:rsidRPr="0074743A">
        <w:rPr>
          <w:rFonts w:ascii="宋体" w:eastAsia="宋体" w:hAnsi="宋体" w:cs="宋体" w:hint="eastAsia"/>
          <w:szCs w:val="20"/>
        </w:rPr>
        <w:t>急性影响</w:t>
      </w:r>
      <w:r w:rsidR="00284695" w:rsidRPr="0074743A">
        <w:rPr>
          <w:rFonts w:ascii="Arial" w:eastAsia="Arial" w:hAnsi="Arial" w:cs="Arial"/>
          <w:szCs w:val="20"/>
        </w:rPr>
        <w:tab/>
      </w:r>
      <w:r w:rsidR="009A0AA3">
        <w:rPr>
          <w:rFonts w:ascii="Arial" w:eastAsia="Arial" w:hAnsi="Arial" w:cs="Arial"/>
          <w:szCs w:val="20"/>
        </w:rPr>
        <w:t xml:space="preserve">                               </w:t>
      </w:r>
      <w:r w:rsidR="008807AE" w:rsidRPr="0074743A">
        <w:rPr>
          <w:rFonts w:ascii="宋体" w:eastAsia="宋体" w:hAnsi="宋体" w:cs="宋体" w:hint="eastAsia"/>
          <w:szCs w:val="20"/>
        </w:rPr>
        <w:t>据报道，布洛芬在大鼠和小鼠中的平均急性口服</w:t>
      </w:r>
      <w:r w:rsidR="008807AE" w:rsidRPr="0074743A">
        <w:rPr>
          <w:rFonts w:ascii="Arial" w:eastAsia="Arial" w:hAnsi="Arial" w:cs="Arial"/>
          <w:szCs w:val="20"/>
        </w:rPr>
        <w:t>LD50</w:t>
      </w:r>
      <w:r w:rsidR="008807AE" w:rsidRPr="0074743A">
        <w:rPr>
          <w:rFonts w:ascii="宋体" w:eastAsia="宋体" w:hAnsi="宋体" w:cs="宋体" w:hint="eastAsia"/>
          <w:szCs w:val="20"/>
        </w:rPr>
        <w:t>值最低，分别为</w:t>
      </w:r>
      <w:r w:rsidR="008807AE" w:rsidRPr="0074743A">
        <w:rPr>
          <w:rFonts w:ascii="Arial" w:eastAsia="Arial" w:hAnsi="Arial" w:cs="Arial"/>
          <w:szCs w:val="20"/>
        </w:rPr>
        <w:t>636</w:t>
      </w:r>
      <w:r w:rsidR="008807AE" w:rsidRPr="0074743A">
        <w:rPr>
          <w:rFonts w:ascii="宋体" w:eastAsia="宋体" w:hAnsi="宋体" w:cs="宋体" w:hint="eastAsia"/>
          <w:szCs w:val="20"/>
        </w:rPr>
        <w:t>和</w:t>
      </w:r>
      <w:r w:rsidR="008807AE" w:rsidRPr="0074743A">
        <w:rPr>
          <w:rFonts w:ascii="Arial" w:eastAsia="Arial" w:hAnsi="Arial" w:cs="Arial"/>
          <w:szCs w:val="20"/>
        </w:rPr>
        <w:t>740 mg / kg</w:t>
      </w:r>
      <w:r w:rsidR="008807AE" w:rsidRPr="0074743A">
        <w:rPr>
          <w:rFonts w:ascii="宋体" w:eastAsia="宋体" w:hAnsi="宋体" w:cs="宋体" w:hint="eastAsia"/>
          <w:szCs w:val="20"/>
        </w:rPr>
        <w:t>，</w:t>
      </w:r>
    </w:p>
    <w:p w14:paraId="5737A63E" w14:textId="585E80A6" w:rsidR="0026097E" w:rsidRPr="0074743A" w:rsidRDefault="009A0AA3" w:rsidP="009A0AA3">
      <w:pPr>
        <w:tabs>
          <w:tab w:val="center" w:pos="6096"/>
        </w:tabs>
        <w:spacing w:after="1" w:line="256" w:lineRule="auto"/>
        <w:ind w:leftChars="600" w:left="1200" w:firstLineChars="463" w:firstLine="926"/>
        <w:jc w:val="center"/>
        <w:rPr>
          <w:szCs w:val="20"/>
        </w:rPr>
      </w:pPr>
      <w:r>
        <w:rPr>
          <w:rFonts w:ascii="宋体" w:eastAsia="宋体" w:hAnsi="宋体" w:cs="宋体" w:hint="eastAsia"/>
          <w:szCs w:val="20"/>
        </w:rPr>
        <w:t xml:space="preserve"> </w:t>
      </w:r>
      <w:r>
        <w:rPr>
          <w:rFonts w:ascii="宋体" w:eastAsia="宋体" w:hAnsi="宋体" w:cs="宋体"/>
          <w:szCs w:val="20"/>
        </w:rPr>
        <w:t xml:space="preserve">     </w:t>
      </w:r>
      <w:r w:rsidR="008807AE" w:rsidRPr="0074743A">
        <w:rPr>
          <w:rFonts w:ascii="宋体" w:eastAsia="宋体" w:hAnsi="宋体" w:cs="宋体" w:hint="eastAsia"/>
          <w:szCs w:val="20"/>
        </w:rPr>
        <w:t>分别。</w:t>
      </w:r>
      <w:r w:rsidR="008807AE" w:rsidRPr="0074743A">
        <w:rPr>
          <w:rFonts w:ascii="Arial" w:eastAsia="Arial" w:hAnsi="Arial" w:cs="Arial"/>
          <w:szCs w:val="20"/>
        </w:rPr>
        <w:t xml:space="preserve"> </w:t>
      </w:r>
      <w:r w:rsidR="008807AE" w:rsidRPr="0074743A">
        <w:rPr>
          <w:rFonts w:ascii="宋体" w:eastAsia="宋体" w:hAnsi="宋体" w:cs="宋体" w:hint="eastAsia"/>
          <w:szCs w:val="20"/>
        </w:rPr>
        <w:t>一项大鼠研究还报告了另一口服</w:t>
      </w:r>
      <w:r w:rsidR="008807AE" w:rsidRPr="0074743A">
        <w:rPr>
          <w:rFonts w:ascii="Arial" w:eastAsia="Arial" w:hAnsi="Arial" w:cs="Arial"/>
          <w:szCs w:val="20"/>
        </w:rPr>
        <w:t>LD50</w:t>
      </w:r>
      <w:r w:rsidR="008807AE" w:rsidRPr="0074743A">
        <w:rPr>
          <w:rFonts w:ascii="宋体" w:eastAsia="宋体" w:hAnsi="宋体" w:cs="宋体" w:hint="eastAsia"/>
          <w:szCs w:val="20"/>
        </w:rPr>
        <w:t>值为</w:t>
      </w:r>
      <w:r w:rsidR="008807AE" w:rsidRPr="0074743A">
        <w:rPr>
          <w:rFonts w:ascii="Arial" w:eastAsia="Arial" w:hAnsi="Arial" w:cs="Arial"/>
          <w:szCs w:val="20"/>
        </w:rPr>
        <w:t>1600 mg / kg</w:t>
      </w:r>
      <w:r w:rsidR="008807AE" w:rsidRPr="0074743A">
        <w:rPr>
          <w:rFonts w:ascii="宋体" w:eastAsia="宋体" w:hAnsi="宋体" w:cs="宋体" w:hint="eastAsia"/>
          <w:szCs w:val="20"/>
        </w:rPr>
        <w:t>，该死亡在用药三天内死亡，临床体征包括镇静，虚脱，扶正反射丧失和呼吸困难。</w:t>
      </w:r>
    </w:p>
    <w:tbl>
      <w:tblPr>
        <w:tblStyle w:val="TableGrid"/>
        <w:tblW w:w="10422" w:type="dxa"/>
        <w:tblInd w:w="0" w:type="dxa"/>
        <w:tblLook w:val="04A0" w:firstRow="1" w:lastRow="0" w:firstColumn="1" w:lastColumn="0" w:noHBand="0" w:noVBand="1"/>
      </w:tblPr>
      <w:tblGrid>
        <w:gridCol w:w="1701"/>
        <w:gridCol w:w="8721"/>
      </w:tblGrid>
      <w:tr w:rsidR="0026097E" w:rsidRPr="0074743A" w14:paraId="34A88D93" w14:textId="77777777" w:rsidTr="009A0AA3">
        <w:trPr>
          <w:trHeight w:val="998"/>
        </w:trPr>
        <w:tc>
          <w:tcPr>
            <w:tcW w:w="1701" w:type="dxa"/>
            <w:tcBorders>
              <w:top w:val="nil"/>
              <w:left w:val="nil"/>
              <w:bottom w:val="nil"/>
              <w:right w:val="nil"/>
            </w:tcBorders>
          </w:tcPr>
          <w:p w14:paraId="0CF16BC6" w14:textId="77777777" w:rsidR="0026097E" w:rsidRPr="0074743A" w:rsidRDefault="0026097E">
            <w:pPr>
              <w:spacing w:after="160" w:line="259" w:lineRule="auto"/>
              <w:ind w:firstLine="0"/>
              <w:jc w:val="left"/>
              <w:rPr>
                <w:szCs w:val="20"/>
              </w:rPr>
            </w:pPr>
          </w:p>
        </w:tc>
        <w:tc>
          <w:tcPr>
            <w:tcW w:w="8721" w:type="dxa"/>
            <w:tcBorders>
              <w:top w:val="nil"/>
              <w:left w:val="nil"/>
              <w:bottom w:val="nil"/>
              <w:right w:val="nil"/>
            </w:tcBorders>
          </w:tcPr>
          <w:p w14:paraId="7434D3C8" w14:textId="77777777" w:rsidR="008807AE" w:rsidRPr="0074743A" w:rsidRDefault="008807AE" w:rsidP="008807AE">
            <w:pPr>
              <w:spacing w:after="0" w:line="259" w:lineRule="auto"/>
              <w:ind w:firstLine="0"/>
              <w:jc w:val="left"/>
              <w:rPr>
                <w:rFonts w:ascii="Arial" w:eastAsia="Arial" w:hAnsi="Arial" w:cs="Arial"/>
                <w:szCs w:val="20"/>
              </w:rPr>
            </w:pPr>
            <w:r w:rsidRPr="0074743A">
              <w:rPr>
                <w:rFonts w:ascii="宋体" w:eastAsia="宋体" w:hAnsi="宋体" w:cs="宋体" w:hint="eastAsia"/>
                <w:szCs w:val="20"/>
              </w:rPr>
              <w:t>在布洛芬的治疗用途中报告的最常见不良反应是胃肠道（</w:t>
            </w:r>
            <w:r w:rsidRPr="0074743A">
              <w:rPr>
                <w:rFonts w:ascii="Arial" w:eastAsia="Arial" w:hAnsi="Arial" w:cs="Arial"/>
                <w:szCs w:val="20"/>
              </w:rPr>
              <w:t>GI</w:t>
            </w:r>
            <w:r w:rsidRPr="0074743A">
              <w:rPr>
                <w:rFonts w:ascii="宋体" w:eastAsia="宋体" w:hAnsi="宋体" w:cs="宋体" w:hint="eastAsia"/>
                <w:szCs w:val="20"/>
              </w:rPr>
              <w:t>）障碍</w:t>
            </w:r>
          </w:p>
          <w:p w14:paraId="7D049A83" w14:textId="29ADA04F" w:rsidR="0026097E" w:rsidRPr="0074743A" w:rsidRDefault="008807AE" w:rsidP="008807AE">
            <w:pPr>
              <w:spacing w:after="0" w:line="259" w:lineRule="auto"/>
              <w:ind w:left="140" w:firstLine="0"/>
              <w:jc w:val="left"/>
              <w:rPr>
                <w:szCs w:val="20"/>
              </w:rPr>
            </w:pPr>
            <w:r w:rsidRPr="0074743A">
              <w:rPr>
                <w:rFonts w:ascii="宋体" w:eastAsia="宋体" w:hAnsi="宋体" w:cs="宋体" w:hint="eastAsia"/>
                <w:szCs w:val="20"/>
              </w:rPr>
              <w:t>（例如胃灼热，消化不良，恶心，呕吐，腹泻，便秘，腹胀和疼痛），这是非</w:t>
            </w:r>
            <w:proofErr w:type="gramStart"/>
            <w:r w:rsidRPr="0074743A">
              <w:rPr>
                <w:rFonts w:ascii="宋体" w:eastAsia="宋体" w:hAnsi="宋体" w:cs="宋体" w:hint="eastAsia"/>
                <w:szCs w:val="20"/>
              </w:rPr>
              <w:t>甾</w:t>
            </w:r>
            <w:proofErr w:type="gramEnd"/>
            <w:r w:rsidRPr="0074743A">
              <w:rPr>
                <w:rFonts w:ascii="宋体" w:eastAsia="宋体" w:hAnsi="宋体" w:cs="宋体" w:hint="eastAsia"/>
                <w:szCs w:val="20"/>
              </w:rPr>
              <w:t>体类抗炎药的典型症状。</w:t>
            </w:r>
            <w:r w:rsidRPr="0074743A">
              <w:rPr>
                <w:rFonts w:ascii="Arial" w:eastAsia="Arial" w:hAnsi="Arial" w:cs="Arial"/>
                <w:szCs w:val="20"/>
              </w:rPr>
              <w:t xml:space="preserve"> </w:t>
            </w:r>
            <w:r w:rsidRPr="0074743A">
              <w:rPr>
                <w:rFonts w:ascii="宋体" w:eastAsia="宋体" w:hAnsi="宋体" w:cs="宋体" w:hint="eastAsia"/>
                <w:szCs w:val="20"/>
              </w:rPr>
              <w:t>消化性溃疡和胃肠道出血，有时甚至是严重的，也有报道，可能与剂量无关。</w:t>
            </w:r>
            <w:r w:rsidRPr="0074743A">
              <w:rPr>
                <w:rFonts w:ascii="Arial" w:eastAsia="Arial" w:hAnsi="Arial" w:cs="Arial"/>
                <w:szCs w:val="20"/>
              </w:rPr>
              <w:t xml:space="preserve"> </w:t>
            </w:r>
            <w:r w:rsidRPr="0074743A">
              <w:rPr>
                <w:rFonts w:ascii="宋体" w:eastAsia="宋体" w:hAnsi="宋体" w:cs="宋体" w:hint="eastAsia"/>
                <w:szCs w:val="20"/>
              </w:rPr>
              <w:t>总体而言，胃肠道疾病的影响较轻，并且报告的频率比常规剂量的阿司匹林要少。</w:t>
            </w:r>
            <w:r w:rsidRPr="0074743A">
              <w:rPr>
                <w:rFonts w:ascii="Arial" w:eastAsia="Arial" w:hAnsi="Arial" w:cs="Arial"/>
                <w:szCs w:val="20"/>
              </w:rPr>
              <w:t xml:space="preserve"> </w:t>
            </w:r>
            <w:r w:rsidRPr="0074743A">
              <w:rPr>
                <w:rFonts w:ascii="宋体" w:eastAsia="宋体" w:hAnsi="宋体" w:cs="宋体" w:hint="eastAsia"/>
                <w:szCs w:val="20"/>
              </w:rPr>
              <w:t>但是，这种影响的风险会随着治疗持续时间，高龄（</w:t>
            </w:r>
            <w:r w:rsidRPr="0074743A">
              <w:rPr>
                <w:rFonts w:ascii="Arial" w:eastAsia="Arial" w:hAnsi="Arial" w:cs="Arial"/>
                <w:szCs w:val="20"/>
              </w:rPr>
              <w:t>&gt; 60</w:t>
            </w:r>
            <w:r w:rsidRPr="0074743A">
              <w:rPr>
                <w:rFonts w:ascii="宋体" w:eastAsia="宋体" w:hAnsi="宋体" w:cs="宋体" w:hint="eastAsia"/>
                <w:szCs w:val="20"/>
              </w:rPr>
              <w:t>岁）和既往疾病（例如有胃肠道疾病或溃疡病史的患者）而增加。</w:t>
            </w:r>
          </w:p>
        </w:tc>
      </w:tr>
      <w:tr w:rsidR="0026097E" w:rsidRPr="0074743A" w14:paraId="5381B5BC" w14:textId="77777777" w:rsidTr="009A0AA3">
        <w:trPr>
          <w:trHeight w:val="850"/>
        </w:trPr>
        <w:tc>
          <w:tcPr>
            <w:tcW w:w="1701" w:type="dxa"/>
            <w:tcBorders>
              <w:top w:val="nil"/>
              <w:left w:val="nil"/>
              <w:bottom w:val="nil"/>
              <w:right w:val="nil"/>
            </w:tcBorders>
          </w:tcPr>
          <w:p w14:paraId="414C0F27" w14:textId="6E9CC42C" w:rsidR="0026097E" w:rsidRPr="0074743A" w:rsidRDefault="008807AE">
            <w:pPr>
              <w:spacing w:after="0" w:line="259" w:lineRule="auto"/>
              <w:ind w:firstLine="0"/>
              <w:jc w:val="left"/>
              <w:rPr>
                <w:szCs w:val="20"/>
              </w:rPr>
            </w:pPr>
            <w:r w:rsidRPr="0074743A">
              <w:rPr>
                <w:rFonts w:ascii="宋体" w:eastAsia="宋体" w:hAnsi="宋体" w:cs="宋体" w:hint="eastAsia"/>
                <w:szCs w:val="20"/>
              </w:rPr>
              <w:t>重复剂量效应</w:t>
            </w:r>
          </w:p>
        </w:tc>
        <w:tc>
          <w:tcPr>
            <w:tcW w:w="8721" w:type="dxa"/>
            <w:tcBorders>
              <w:top w:val="nil"/>
              <w:left w:val="nil"/>
              <w:bottom w:val="nil"/>
              <w:right w:val="nil"/>
            </w:tcBorders>
          </w:tcPr>
          <w:p w14:paraId="1DEE2157" w14:textId="45CFFBFC" w:rsidR="0026097E" w:rsidRPr="0074743A" w:rsidRDefault="008807AE">
            <w:pPr>
              <w:spacing w:after="0" w:line="259" w:lineRule="auto"/>
              <w:ind w:left="140" w:hanging="140"/>
              <w:jc w:val="left"/>
              <w:rPr>
                <w:szCs w:val="20"/>
              </w:rPr>
            </w:pPr>
            <w:r w:rsidRPr="0074743A">
              <w:rPr>
                <w:rFonts w:ascii="宋体" w:eastAsia="宋体" w:hAnsi="宋体" w:cs="宋体" w:hint="eastAsia"/>
                <w:szCs w:val="20"/>
              </w:rPr>
              <w:t>重复剂量非临床毒性研究的主要一致结果是预期的胃肠道溃疡。</w:t>
            </w:r>
            <w:r w:rsidRPr="0074743A">
              <w:rPr>
                <w:rFonts w:ascii="Arial" w:eastAsia="Arial" w:hAnsi="Arial" w:cs="Arial"/>
                <w:szCs w:val="20"/>
              </w:rPr>
              <w:t xml:space="preserve"> </w:t>
            </w:r>
            <w:r w:rsidRPr="0074743A">
              <w:rPr>
                <w:rFonts w:ascii="宋体" w:eastAsia="宋体" w:hAnsi="宋体" w:cs="宋体" w:hint="eastAsia"/>
                <w:szCs w:val="20"/>
              </w:rPr>
              <w:t>在临床研究中，非</w:t>
            </w:r>
            <w:proofErr w:type="gramStart"/>
            <w:r w:rsidRPr="0074743A">
              <w:rPr>
                <w:rFonts w:ascii="宋体" w:eastAsia="宋体" w:hAnsi="宋体" w:cs="宋体" w:hint="eastAsia"/>
                <w:szCs w:val="20"/>
              </w:rPr>
              <w:t>甾</w:t>
            </w:r>
            <w:proofErr w:type="gramEnd"/>
            <w:r w:rsidRPr="0074743A">
              <w:rPr>
                <w:rFonts w:ascii="宋体" w:eastAsia="宋体" w:hAnsi="宋体" w:cs="宋体" w:hint="eastAsia"/>
                <w:szCs w:val="20"/>
              </w:rPr>
              <w:t>体抗炎药一直与一系列不良反应相关，包括严重胃肠道出血，溃疡和胃或肠穿孔的风险增加，这可能是致命的，肾脏损害（乳头状坏死）和严重的心血管血栓事件，</w:t>
            </w:r>
            <w:r w:rsidRPr="0074743A">
              <w:rPr>
                <w:rFonts w:ascii="Arial" w:eastAsia="Arial" w:hAnsi="Arial" w:cs="Arial"/>
                <w:szCs w:val="20"/>
              </w:rPr>
              <w:t xml:space="preserve"> </w:t>
            </w:r>
            <w:r w:rsidRPr="0074743A">
              <w:rPr>
                <w:rFonts w:ascii="宋体" w:eastAsia="宋体" w:hAnsi="宋体" w:cs="宋体" w:hint="eastAsia"/>
                <w:szCs w:val="20"/>
              </w:rPr>
              <w:t>心肌梗塞和中风可能是致命的（</w:t>
            </w:r>
            <w:r w:rsidRPr="0074743A">
              <w:rPr>
                <w:rFonts w:ascii="Arial" w:eastAsia="Arial" w:hAnsi="Arial" w:cs="Arial"/>
                <w:szCs w:val="20"/>
              </w:rPr>
              <w:t>134</w:t>
            </w:r>
            <w:r w:rsidRPr="0074743A">
              <w:rPr>
                <w:rFonts w:ascii="宋体" w:eastAsia="宋体" w:hAnsi="宋体" w:cs="宋体" w:hint="eastAsia"/>
                <w:szCs w:val="20"/>
              </w:rPr>
              <w:t>，</w:t>
            </w:r>
            <w:r w:rsidRPr="0074743A">
              <w:rPr>
                <w:rFonts w:ascii="Arial" w:eastAsia="Arial" w:hAnsi="Arial" w:cs="Arial"/>
                <w:szCs w:val="20"/>
              </w:rPr>
              <w:t>135</w:t>
            </w:r>
            <w:r w:rsidRPr="0074743A">
              <w:rPr>
                <w:rFonts w:ascii="宋体" w:eastAsia="宋体" w:hAnsi="宋体" w:cs="宋体" w:hint="eastAsia"/>
                <w:szCs w:val="20"/>
              </w:rPr>
              <w:t>）</w:t>
            </w:r>
          </w:p>
        </w:tc>
      </w:tr>
      <w:tr w:rsidR="0026097E" w:rsidRPr="0074743A" w14:paraId="6D1B1A3F" w14:textId="77777777" w:rsidTr="009A0AA3">
        <w:trPr>
          <w:trHeight w:val="680"/>
        </w:trPr>
        <w:tc>
          <w:tcPr>
            <w:tcW w:w="1701" w:type="dxa"/>
            <w:tcBorders>
              <w:top w:val="nil"/>
              <w:left w:val="nil"/>
              <w:bottom w:val="nil"/>
              <w:right w:val="nil"/>
            </w:tcBorders>
          </w:tcPr>
          <w:p w14:paraId="3225D0CE" w14:textId="4C85F452" w:rsidR="0026097E" w:rsidRPr="0074743A" w:rsidRDefault="00751247">
            <w:pPr>
              <w:spacing w:after="0" w:line="259" w:lineRule="auto"/>
              <w:ind w:firstLine="0"/>
              <w:jc w:val="left"/>
              <w:rPr>
                <w:szCs w:val="20"/>
              </w:rPr>
            </w:pPr>
            <w:r w:rsidRPr="0074743A">
              <w:rPr>
                <w:rFonts w:ascii="宋体" w:eastAsia="宋体" w:hAnsi="宋体" w:cs="宋体" w:hint="eastAsia"/>
                <w:szCs w:val="20"/>
              </w:rPr>
              <w:t>遗传毒性</w:t>
            </w:r>
          </w:p>
        </w:tc>
        <w:tc>
          <w:tcPr>
            <w:tcW w:w="8721" w:type="dxa"/>
            <w:tcBorders>
              <w:top w:val="nil"/>
              <w:left w:val="nil"/>
              <w:bottom w:val="nil"/>
              <w:right w:val="nil"/>
            </w:tcBorders>
          </w:tcPr>
          <w:p w14:paraId="6FC82AB3" w14:textId="729ACEC8" w:rsidR="0026097E" w:rsidRPr="0074743A" w:rsidRDefault="00751247">
            <w:pPr>
              <w:spacing w:after="0" w:line="259" w:lineRule="auto"/>
              <w:ind w:left="140" w:hanging="140"/>
              <w:jc w:val="left"/>
              <w:rPr>
                <w:szCs w:val="20"/>
              </w:rPr>
            </w:pPr>
            <w:r w:rsidRPr="0074743A">
              <w:rPr>
                <w:rFonts w:ascii="宋体" w:eastAsia="宋体" w:hAnsi="宋体" w:cs="宋体" w:hint="eastAsia"/>
                <w:szCs w:val="20"/>
              </w:rPr>
              <w:t>在标准</w:t>
            </w:r>
            <w:r w:rsidRPr="0074743A">
              <w:rPr>
                <w:rFonts w:ascii="Arial" w:eastAsia="Arial" w:hAnsi="Arial" w:cs="Arial"/>
                <w:szCs w:val="20"/>
              </w:rPr>
              <w:t>Ames</w:t>
            </w:r>
            <w:r w:rsidRPr="0074743A">
              <w:rPr>
                <w:rFonts w:ascii="宋体" w:eastAsia="宋体" w:hAnsi="宋体" w:cs="宋体" w:hint="eastAsia"/>
                <w:szCs w:val="20"/>
              </w:rPr>
              <w:t>试验中未发现布洛芬具有致突变性（</w:t>
            </w:r>
            <w:r w:rsidRPr="0074743A">
              <w:rPr>
                <w:rFonts w:ascii="Arial" w:eastAsia="Arial" w:hAnsi="Arial" w:cs="Arial"/>
                <w:szCs w:val="20"/>
              </w:rPr>
              <w:t>136</w:t>
            </w:r>
            <w:r w:rsidRPr="0074743A">
              <w:rPr>
                <w:rFonts w:ascii="宋体" w:eastAsia="宋体" w:hAnsi="宋体" w:cs="宋体" w:hint="eastAsia"/>
                <w:szCs w:val="20"/>
              </w:rPr>
              <w:t>，</w:t>
            </w:r>
            <w:r w:rsidRPr="0074743A">
              <w:rPr>
                <w:rFonts w:ascii="Arial" w:eastAsia="Arial" w:hAnsi="Arial" w:cs="Arial"/>
                <w:szCs w:val="20"/>
              </w:rPr>
              <w:t>137</w:t>
            </w:r>
            <w:r w:rsidRPr="0074743A">
              <w:rPr>
                <w:rFonts w:ascii="宋体" w:eastAsia="宋体" w:hAnsi="宋体" w:cs="宋体" w:hint="eastAsia"/>
                <w:szCs w:val="20"/>
              </w:rPr>
              <w:t>）。</w:t>
            </w:r>
            <w:r w:rsidRPr="0074743A">
              <w:rPr>
                <w:rFonts w:ascii="Arial" w:eastAsia="Arial" w:hAnsi="Arial" w:cs="Arial"/>
                <w:szCs w:val="20"/>
              </w:rPr>
              <w:t xml:space="preserve"> </w:t>
            </w:r>
            <w:r w:rsidRPr="0074743A">
              <w:rPr>
                <w:rFonts w:ascii="宋体" w:eastAsia="宋体" w:hAnsi="宋体" w:cs="宋体" w:hint="eastAsia"/>
                <w:szCs w:val="20"/>
              </w:rPr>
              <w:t>布</w:t>
            </w:r>
            <w:proofErr w:type="gramStart"/>
            <w:r w:rsidRPr="0074743A">
              <w:rPr>
                <w:rFonts w:ascii="宋体" w:eastAsia="宋体" w:hAnsi="宋体" w:cs="宋体" w:hint="eastAsia"/>
                <w:szCs w:val="20"/>
              </w:rPr>
              <w:t>洛</w:t>
            </w:r>
            <w:proofErr w:type="gramEnd"/>
            <w:r w:rsidRPr="0074743A">
              <w:rPr>
                <w:rFonts w:ascii="宋体" w:eastAsia="宋体" w:hAnsi="宋体" w:cs="宋体" w:hint="eastAsia"/>
                <w:szCs w:val="20"/>
              </w:rPr>
              <w:t>芬在小鼠骨髓中的体内姊妹染色单体交换（</w:t>
            </w:r>
            <w:r w:rsidRPr="0074743A">
              <w:rPr>
                <w:rFonts w:ascii="Arial" w:eastAsia="Arial" w:hAnsi="Arial" w:cs="Arial"/>
                <w:szCs w:val="20"/>
              </w:rPr>
              <w:t>SCE</w:t>
            </w:r>
            <w:r w:rsidRPr="0074743A">
              <w:rPr>
                <w:rFonts w:ascii="宋体" w:eastAsia="宋体" w:hAnsi="宋体" w:cs="宋体" w:hint="eastAsia"/>
                <w:szCs w:val="20"/>
              </w:rPr>
              <w:t>）测试</w:t>
            </w:r>
            <w:proofErr w:type="gramStart"/>
            <w:r w:rsidRPr="0074743A">
              <w:rPr>
                <w:rFonts w:ascii="宋体" w:eastAsia="宋体" w:hAnsi="宋体" w:cs="宋体" w:hint="eastAsia"/>
                <w:szCs w:val="20"/>
              </w:rPr>
              <w:t>中呈弱阳性</w:t>
            </w:r>
            <w:proofErr w:type="gramEnd"/>
            <w:r w:rsidRPr="0074743A">
              <w:rPr>
                <w:rFonts w:ascii="宋体" w:eastAsia="宋体" w:hAnsi="宋体" w:cs="宋体" w:hint="eastAsia"/>
                <w:szCs w:val="20"/>
              </w:rPr>
              <w:t>（</w:t>
            </w:r>
            <w:r w:rsidRPr="0074743A">
              <w:rPr>
                <w:rFonts w:ascii="Arial" w:eastAsia="Arial" w:hAnsi="Arial" w:cs="Arial"/>
                <w:szCs w:val="20"/>
              </w:rPr>
              <w:t>138</w:t>
            </w:r>
            <w:r w:rsidRPr="0074743A">
              <w:rPr>
                <w:rFonts w:ascii="宋体" w:eastAsia="宋体" w:hAnsi="宋体" w:cs="宋体" w:hint="eastAsia"/>
                <w:szCs w:val="20"/>
              </w:rPr>
              <w:t>）。</w:t>
            </w:r>
            <w:r w:rsidRPr="0074743A">
              <w:rPr>
                <w:rFonts w:ascii="Arial" w:eastAsia="Arial" w:hAnsi="Arial" w:cs="Arial"/>
                <w:szCs w:val="20"/>
              </w:rPr>
              <w:t xml:space="preserve"> </w:t>
            </w:r>
            <w:r w:rsidRPr="0074743A">
              <w:rPr>
                <w:rFonts w:ascii="宋体" w:eastAsia="宋体" w:hAnsi="宋体" w:cs="宋体" w:hint="eastAsia"/>
                <w:szCs w:val="20"/>
              </w:rPr>
              <w:t>在体内高剂量染色体畸变的小鼠体内染色体畸变测定中，布洛芬还被证明会引起遗传毒性（</w:t>
            </w:r>
            <w:r w:rsidRPr="0074743A">
              <w:rPr>
                <w:rFonts w:ascii="Arial" w:eastAsia="Arial" w:hAnsi="Arial" w:cs="Arial"/>
                <w:szCs w:val="20"/>
              </w:rPr>
              <w:t>139</w:t>
            </w:r>
            <w:r w:rsidRPr="0074743A">
              <w:rPr>
                <w:rFonts w:ascii="宋体" w:eastAsia="宋体" w:hAnsi="宋体" w:cs="宋体" w:hint="eastAsia"/>
                <w:szCs w:val="20"/>
              </w:rPr>
              <w:t>）</w:t>
            </w:r>
          </w:p>
        </w:tc>
      </w:tr>
      <w:tr w:rsidR="0026097E" w:rsidRPr="0074743A" w14:paraId="1D746EFE" w14:textId="77777777" w:rsidTr="009A0AA3">
        <w:trPr>
          <w:trHeight w:val="510"/>
        </w:trPr>
        <w:tc>
          <w:tcPr>
            <w:tcW w:w="1701" w:type="dxa"/>
            <w:tcBorders>
              <w:top w:val="nil"/>
              <w:left w:val="nil"/>
              <w:bottom w:val="nil"/>
              <w:right w:val="nil"/>
            </w:tcBorders>
          </w:tcPr>
          <w:p w14:paraId="43CAE197" w14:textId="71C78C50" w:rsidR="0026097E" w:rsidRPr="009A0AA3" w:rsidRDefault="00751247">
            <w:pPr>
              <w:spacing w:after="0" w:line="259" w:lineRule="auto"/>
              <w:ind w:firstLine="0"/>
              <w:jc w:val="left"/>
              <w:rPr>
                <w:rFonts w:ascii="宋体" w:eastAsia="宋体" w:hAnsi="宋体"/>
                <w:szCs w:val="20"/>
              </w:rPr>
            </w:pPr>
            <w:r w:rsidRPr="009A0AA3">
              <w:rPr>
                <w:rFonts w:ascii="宋体" w:eastAsia="宋体" w:hAnsi="宋体" w:cs="宋体" w:hint="eastAsia"/>
                <w:szCs w:val="20"/>
              </w:rPr>
              <w:t>致癌性</w:t>
            </w:r>
          </w:p>
        </w:tc>
        <w:tc>
          <w:tcPr>
            <w:tcW w:w="8721" w:type="dxa"/>
            <w:tcBorders>
              <w:top w:val="nil"/>
              <w:left w:val="nil"/>
              <w:bottom w:val="nil"/>
              <w:right w:val="nil"/>
            </w:tcBorders>
          </w:tcPr>
          <w:p w14:paraId="593D3DB0" w14:textId="0679E356" w:rsidR="0026097E" w:rsidRPr="009A0AA3" w:rsidRDefault="00751247">
            <w:pPr>
              <w:spacing w:after="0" w:line="259" w:lineRule="auto"/>
              <w:ind w:left="140" w:hanging="140"/>
              <w:jc w:val="left"/>
              <w:rPr>
                <w:rFonts w:ascii="宋体" w:eastAsia="宋体" w:hAnsi="宋体"/>
                <w:b/>
                <w:bCs/>
                <w:szCs w:val="20"/>
              </w:rPr>
            </w:pPr>
            <w:r w:rsidRPr="009A0AA3">
              <w:rPr>
                <w:rFonts w:ascii="宋体" w:eastAsia="宋体" w:hAnsi="宋体" w:cs="Arial" w:hint="eastAsia"/>
                <w:b/>
                <w:bCs/>
                <w:color w:val="777777"/>
                <w:kern w:val="0"/>
                <w:szCs w:val="20"/>
              </w:rPr>
              <w:t>已在实验室大鼠和小鼠中进行了口腔致癌性研究（</w:t>
            </w:r>
            <w:r w:rsidRPr="009A0AA3">
              <w:rPr>
                <w:rFonts w:ascii="宋体" w:eastAsia="宋体" w:hAnsi="宋体" w:cs="Arial"/>
                <w:b/>
                <w:bCs/>
                <w:color w:val="777777"/>
                <w:kern w:val="0"/>
                <w:szCs w:val="20"/>
              </w:rPr>
              <w:t>140</w:t>
            </w:r>
            <w:r w:rsidRPr="009A0AA3">
              <w:rPr>
                <w:rFonts w:ascii="宋体" w:eastAsia="宋体" w:hAnsi="宋体" w:cs="Arial" w:hint="eastAsia"/>
                <w:b/>
                <w:bCs/>
                <w:color w:val="777777"/>
                <w:kern w:val="0"/>
                <w:szCs w:val="20"/>
              </w:rPr>
              <w:t>）。</w:t>
            </w:r>
            <w:r w:rsidRPr="009A0AA3">
              <w:rPr>
                <w:rFonts w:ascii="宋体" w:eastAsia="宋体" w:hAnsi="宋体" w:cs="Arial"/>
                <w:b/>
                <w:bCs/>
                <w:color w:val="777777"/>
                <w:kern w:val="0"/>
                <w:szCs w:val="20"/>
              </w:rPr>
              <w:t xml:space="preserve"> </w:t>
            </w:r>
            <w:r w:rsidRPr="009A0AA3">
              <w:rPr>
                <w:rFonts w:ascii="宋体" w:eastAsia="宋体" w:hAnsi="宋体" w:cs="Arial" w:hint="eastAsia"/>
                <w:b/>
                <w:bCs/>
                <w:color w:val="777777"/>
                <w:kern w:val="0"/>
                <w:szCs w:val="20"/>
              </w:rPr>
              <w:t>结论是布</w:t>
            </w:r>
            <w:proofErr w:type="gramStart"/>
            <w:r w:rsidRPr="009A0AA3">
              <w:rPr>
                <w:rFonts w:ascii="宋体" w:eastAsia="宋体" w:hAnsi="宋体" w:cs="Arial" w:hint="eastAsia"/>
                <w:b/>
                <w:bCs/>
                <w:color w:val="777777"/>
                <w:kern w:val="0"/>
                <w:szCs w:val="20"/>
              </w:rPr>
              <w:t>洛</w:t>
            </w:r>
            <w:proofErr w:type="gramEnd"/>
            <w:r w:rsidRPr="009A0AA3">
              <w:rPr>
                <w:rFonts w:ascii="宋体" w:eastAsia="宋体" w:hAnsi="宋体" w:cs="Arial" w:hint="eastAsia"/>
                <w:b/>
                <w:bCs/>
                <w:color w:val="777777"/>
                <w:kern w:val="0"/>
                <w:szCs w:val="20"/>
              </w:rPr>
              <w:t>芬</w:t>
            </w:r>
            <w:proofErr w:type="gramStart"/>
            <w:r w:rsidRPr="009A0AA3">
              <w:rPr>
                <w:rFonts w:ascii="宋体" w:eastAsia="宋体" w:hAnsi="宋体" w:cs="Arial" w:hint="eastAsia"/>
                <w:b/>
                <w:bCs/>
                <w:color w:val="777777"/>
                <w:kern w:val="0"/>
                <w:szCs w:val="20"/>
              </w:rPr>
              <w:t>不</w:t>
            </w:r>
            <w:proofErr w:type="gramEnd"/>
            <w:r w:rsidRPr="009A0AA3">
              <w:rPr>
                <w:rFonts w:ascii="宋体" w:eastAsia="宋体" w:hAnsi="宋体" w:cs="Arial" w:hint="eastAsia"/>
                <w:b/>
                <w:bCs/>
                <w:color w:val="777777"/>
                <w:kern w:val="0"/>
                <w:szCs w:val="20"/>
              </w:rPr>
              <w:t>致癌。</w:t>
            </w:r>
            <w:r w:rsidRPr="009A0AA3">
              <w:rPr>
                <w:rFonts w:ascii="宋体" w:eastAsia="宋体" w:hAnsi="宋体" w:cs="Arial"/>
                <w:b/>
                <w:bCs/>
                <w:color w:val="777777"/>
                <w:kern w:val="0"/>
                <w:szCs w:val="20"/>
              </w:rPr>
              <w:t xml:space="preserve"> </w:t>
            </w:r>
            <w:r w:rsidRPr="009A0AA3">
              <w:rPr>
                <w:rFonts w:ascii="宋体" w:eastAsia="宋体" w:hAnsi="宋体" w:cs="Arial" w:hint="eastAsia"/>
                <w:b/>
                <w:bCs/>
                <w:color w:val="777777"/>
                <w:kern w:val="0"/>
                <w:szCs w:val="20"/>
              </w:rPr>
              <w:t>流行病学观察研究报告说，长期使用非</w:t>
            </w:r>
            <w:proofErr w:type="gramStart"/>
            <w:r w:rsidRPr="009A0AA3">
              <w:rPr>
                <w:rFonts w:ascii="宋体" w:eastAsia="宋体" w:hAnsi="宋体" w:cs="Arial" w:hint="eastAsia"/>
                <w:b/>
                <w:bCs/>
                <w:color w:val="777777"/>
                <w:kern w:val="0"/>
                <w:szCs w:val="20"/>
              </w:rPr>
              <w:t>甾</w:t>
            </w:r>
            <w:proofErr w:type="gramEnd"/>
            <w:r w:rsidRPr="009A0AA3">
              <w:rPr>
                <w:rFonts w:ascii="宋体" w:eastAsia="宋体" w:hAnsi="宋体" w:cs="Arial" w:hint="eastAsia"/>
                <w:b/>
                <w:bCs/>
                <w:color w:val="777777"/>
                <w:kern w:val="0"/>
                <w:szCs w:val="20"/>
              </w:rPr>
              <w:t>体抗炎药与降低癌症风险和延缓恶性疾病进展有关（</w:t>
            </w:r>
            <w:r w:rsidRPr="009A0AA3">
              <w:rPr>
                <w:rFonts w:ascii="宋体" w:eastAsia="宋体" w:hAnsi="宋体" w:cs="Arial"/>
                <w:b/>
                <w:bCs/>
                <w:color w:val="777777"/>
                <w:kern w:val="0"/>
                <w:szCs w:val="20"/>
              </w:rPr>
              <w:t>141</w:t>
            </w:r>
            <w:r w:rsidRPr="009A0AA3">
              <w:rPr>
                <w:rFonts w:ascii="宋体" w:eastAsia="宋体" w:hAnsi="宋体" w:cs="Arial" w:hint="eastAsia"/>
                <w:b/>
                <w:bCs/>
                <w:color w:val="777777"/>
                <w:kern w:val="0"/>
                <w:szCs w:val="20"/>
              </w:rPr>
              <w:t>）。</w:t>
            </w:r>
          </w:p>
        </w:tc>
      </w:tr>
      <w:tr w:rsidR="0026097E" w14:paraId="5E0424FC" w14:textId="77777777" w:rsidTr="009A0AA3">
        <w:trPr>
          <w:trHeight w:val="2210"/>
        </w:trPr>
        <w:tc>
          <w:tcPr>
            <w:tcW w:w="1701" w:type="dxa"/>
            <w:tcBorders>
              <w:top w:val="nil"/>
              <w:left w:val="nil"/>
              <w:bottom w:val="nil"/>
              <w:right w:val="nil"/>
            </w:tcBorders>
          </w:tcPr>
          <w:p w14:paraId="16D2C8E3" w14:textId="18B8F1B2" w:rsidR="0026097E" w:rsidRPr="009A0AA3" w:rsidRDefault="00751247">
            <w:pPr>
              <w:spacing w:after="0" w:line="259" w:lineRule="auto"/>
              <w:ind w:firstLine="0"/>
              <w:jc w:val="left"/>
              <w:rPr>
                <w:szCs w:val="20"/>
              </w:rPr>
            </w:pPr>
            <w:r w:rsidRPr="009A0AA3">
              <w:rPr>
                <w:rFonts w:ascii="宋体" w:eastAsia="宋体" w:hAnsi="宋体" w:cs="宋体" w:hint="eastAsia"/>
                <w:szCs w:val="20"/>
              </w:rPr>
              <w:t>发育和生殖影响</w:t>
            </w:r>
          </w:p>
        </w:tc>
        <w:tc>
          <w:tcPr>
            <w:tcW w:w="8721" w:type="dxa"/>
            <w:tcBorders>
              <w:top w:val="nil"/>
              <w:left w:val="nil"/>
              <w:bottom w:val="nil"/>
              <w:right w:val="nil"/>
            </w:tcBorders>
          </w:tcPr>
          <w:p w14:paraId="0288F974" w14:textId="77777777" w:rsidR="00751247" w:rsidRPr="009A0AA3" w:rsidRDefault="00751247" w:rsidP="00751247">
            <w:pPr>
              <w:spacing w:after="0" w:line="259" w:lineRule="auto"/>
              <w:ind w:firstLine="0"/>
              <w:jc w:val="left"/>
              <w:rPr>
                <w:rFonts w:ascii="Arial" w:eastAsia="Arial" w:hAnsi="Arial" w:cs="Arial"/>
                <w:szCs w:val="20"/>
              </w:rPr>
            </w:pPr>
            <w:r w:rsidRPr="009A0AA3">
              <w:rPr>
                <w:rFonts w:ascii="宋体" w:eastAsia="宋体" w:hAnsi="宋体" w:cs="宋体" w:hint="eastAsia"/>
                <w:szCs w:val="20"/>
              </w:rPr>
              <w:t>布洛芬的使用可能会损害女性的生育能力，不建议尝试怀孕的女性使用。</w:t>
            </w:r>
          </w:p>
          <w:p w14:paraId="5BD68286" w14:textId="77777777" w:rsidR="00751247" w:rsidRPr="009A0AA3" w:rsidRDefault="00751247" w:rsidP="00751247">
            <w:pPr>
              <w:spacing w:after="0" w:line="259" w:lineRule="auto"/>
              <w:ind w:firstLine="0"/>
              <w:jc w:val="left"/>
              <w:rPr>
                <w:rFonts w:ascii="Arial" w:eastAsia="Arial" w:hAnsi="Arial" w:cs="Arial"/>
                <w:szCs w:val="20"/>
              </w:rPr>
            </w:pPr>
            <w:r w:rsidRPr="009A0AA3">
              <w:rPr>
                <w:rFonts w:ascii="宋体" w:eastAsia="宋体" w:hAnsi="宋体" w:cs="宋体" w:hint="eastAsia"/>
                <w:szCs w:val="20"/>
              </w:rPr>
              <w:t>抑制前列腺素的合成可能对怀孕或胚胎</w:t>
            </w:r>
            <w:r w:rsidRPr="009A0AA3">
              <w:rPr>
                <w:rFonts w:ascii="Arial" w:eastAsia="Arial" w:hAnsi="Arial" w:cs="Arial"/>
                <w:szCs w:val="20"/>
              </w:rPr>
              <w:t>/</w:t>
            </w:r>
            <w:r w:rsidRPr="009A0AA3">
              <w:rPr>
                <w:rFonts w:ascii="宋体" w:eastAsia="宋体" w:hAnsi="宋体" w:cs="宋体" w:hint="eastAsia"/>
                <w:szCs w:val="20"/>
              </w:rPr>
              <w:t>胎儿发育或两者产生不利影响。流行病学研究的数据表明，在妊娠早期使用前列腺素合成抑制剂后，流产，心脏畸形和胃瘫的风险增加。据信该风险随着剂量和治疗持续时间而增加。在一项流行病学研究中，使用</w:t>
            </w:r>
            <w:r w:rsidRPr="009A0AA3">
              <w:rPr>
                <w:rFonts w:ascii="Arial" w:eastAsia="Arial" w:hAnsi="Arial" w:cs="Arial"/>
                <w:szCs w:val="20"/>
              </w:rPr>
              <w:t>NSAID</w:t>
            </w:r>
            <w:r w:rsidRPr="009A0AA3">
              <w:rPr>
                <w:rFonts w:ascii="宋体" w:eastAsia="宋体" w:hAnsi="宋体" w:cs="宋体" w:hint="eastAsia"/>
                <w:szCs w:val="20"/>
              </w:rPr>
              <w:t>不会增加不良出生结局的风险，但会增加流产的风险（</w:t>
            </w:r>
            <w:r w:rsidRPr="009A0AA3">
              <w:rPr>
                <w:rFonts w:ascii="Arial" w:eastAsia="Arial" w:hAnsi="Arial" w:cs="Arial"/>
                <w:szCs w:val="20"/>
              </w:rPr>
              <w:t>142</w:t>
            </w:r>
            <w:r w:rsidRPr="009A0AA3">
              <w:rPr>
                <w:rFonts w:ascii="宋体" w:eastAsia="宋体" w:hAnsi="宋体" w:cs="宋体" w:hint="eastAsia"/>
                <w:szCs w:val="20"/>
              </w:rPr>
              <w:t>）。布洛芬及其代谢物穿过大鼠和兔子的胎盘屏障。在动物中，前列腺素合成抑制剂的给药已显示导致植入前和植入后损失增加以及胚胎</w:t>
            </w:r>
            <w:r w:rsidRPr="009A0AA3">
              <w:rPr>
                <w:rFonts w:ascii="Arial" w:eastAsia="Arial" w:hAnsi="Arial" w:cs="Arial"/>
                <w:szCs w:val="20"/>
              </w:rPr>
              <w:t>/</w:t>
            </w:r>
            <w:r w:rsidRPr="009A0AA3">
              <w:rPr>
                <w:rFonts w:ascii="宋体" w:eastAsia="宋体" w:hAnsi="宋体" w:cs="宋体" w:hint="eastAsia"/>
                <w:szCs w:val="20"/>
              </w:rPr>
              <w:t>胎儿致死率增加。另外，已经报道了在器官发生期间施用前列腺素合成抑制剂的动物的后代中各种畸形（包括心血管和骨骼）的发生率增加。</w:t>
            </w:r>
          </w:p>
          <w:p w14:paraId="1CE02550" w14:textId="4F5A2F0A" w:rsidR="0026097E" w:rsidRPr="009A0AA3" w:rsidRDefault="00751247" w:rsidP="00751247">
            <w:pPr>
              <w:spacing w:after="0" w:line="259" w:lineRule="auto"/>
              <w:ind w:left="140" w:right="5" w:hanging="140"/>
              <w:jc w:val="left"/>
              <w:rPr>
                <w:szCs w:val="20"/>
              </w:rPr>
            </w:pPr>
            <w:r w:rsidRPr="009A0AA3">
              <w:rPr>
                <w:rFonts w:ascii="宋体" w:eastAsia="宋体" w:hAnsi="宋体" w:cs="宋体" w:hint="eastAsia"/>
                <w:szCs w:val="20"/>
              </w:rPr>
              <w:t>在妊娠的前三个月和中期，除非明确有必要，否则不应该服用布洛芬。布洛芬在妊娠的第三个月是禁忌的，因为它可能导致动脉导管过早闭合（</w:t>
            </w:r>
            <w:r w:rsidRPr="009A0AA3">
              <w:rPr>
                <w:rFonts w:ascii="Arial" w:eastAsia="Arial" w:hAnsi="Arial" w:cs="Arial"/>
                <w:szCs w:val="20"/>
              </w:rPr>
              <w:t>135</w:t>
            </w:r>
            <w:r w:rsidRPr="009A0AA3">
              <w:rPr>
                <w:rFonts w:ascii="宋体" w:eastAsia="宋体" w:hAnsi="宋体" w:cs="宋体" w:hint="eastAsia"/>
                <w:szCs w:val="20"/>
              </w:rPr>
              <w:t>）。</w:t>
            </w:r>
          </w:p>
        </w:tc>
      </w:tr>
      <w:tr w:rsidR="0026097E" w14:paraId="2258E956" w14:textId="77777777" w:rsidTr="009A0AA3">
        <w:trPr>
          <w:trHeight w:val="1191"/>
        </w:trPr>
        <w:tc>
          <w:tcPr>
            <w:tcW w:w="1701" w:type="dxa"/>
            <w:tcBorders>
              <w:top w:val="nil"/>
              <w:left w:val="nil"/>
              <w:bottom w:val="nil"/>
              <w:right w:val="nil"/>
            </w:tcBorders>
          </w:tcPr>
          <w:p w14:paraId="600BB6DB" w14:textId="0565D281" w:rsidR="0026097E" w:rsidRPr="009A0AA3" w:rsidRDefault="00751247">
            <w:pPr>
              <w:spacing w:after="0" w:line="259" w:lineRule="auto"/>
              <w:ind w:firstLine="0"/>
              <w:jc w:val="left"/>
              <w:rPr>
                <w:szCs w:val="20"/>
              </w:rPr>
            </w:pPr>
            <w:r w:rsidRPr="009A0AA3">
              <w:rPr>
                <w:rFonts w:ascii="宋体" w:eastAsia="宋体" w:hAnsi="宋体" w:cs="宋体" w:hint="eastAsia"/>
                <w:szCs w:val="20"/>
              </w:rPr>
              <w:lastRenderedPageBreak/>
              <w:t>致敏和刺激性</w:t>
            </w:r>
          </w:p>
        </w:tc>
        <w:tc>
          <w:tcPr>
            <w:tcW w:w="8721" w:type="dxa"/>
            <w:tcBorders>
              <w:top w:val="nil"/>
              <w:left w:val="nil"/>
              <w:bottom w:val="nil"/>
              <w:right w:val="nil"/>
            </w:tcBorders>
          </w:tcPr>
          <w:p w14:paraId="723343F1" w14:textId="77777777" w:rsidR="00751247" w:rsidRPr="009A0AA3" w:rsidRDefault="00751247" w:rsidP="00751247">
            <w:pPr>
              <w:spacing w:after="0" w:line="264" w:lineRule="auto"/>
              <w:ind w:left="139" w:hanging="139"/>
              <w:jc w:val="left"/>
              <w:rPr>
                <w:rFonts w:ascii="Arial" w:eastAsia="Arial" w:hAnsi="Arial" w:cs="Arial"/>
                <w:szCs w:val="20"/>
              </w:rPr>
            </w:pPr>
            <w:r w:rsidRPr="009A0AA3">
              <w:rPr>
                <w:rFonts w:ascii="宋体" w:eastAsia="宋体" w:hAnsi="宋体" w:cs="宋体" w:hint="eastAsia"/>
                <w:szCs w:val="20"/>
              </w:rPr>
              <w:t>在符合</w:t>
            </w:r>
            <w:r w:rsidRPr="009A0AA3">
              <w:rPr>
                <w:rFonts w:ascii="Arial" w:eastAsia="Arial" w:hAnsi="Arial" w:cs="Arial"/>
                <w:szCs w:val="20"/>
              </w:rPr>
              <w:t>GLP</w:t>
            </w:r>
            <w:r w:rsidRPr="009A0AA3">
              <w:rPr>
                <w:rFonts w:ascii="宋体" w:eastAsia="宋体" w:hAnsi="宋体" w:cs="宋体" w:hint="eastAsia"/>
                <w:szCs w:val="20"/>
              </w:rPr>
              <w:t>的体外（牛角膜不透明性和渗透性）测试中，布洛芬对眼睛没有腐蚀性（</w:t>
            </w:r>
            <w:r w:rsidRPr="009A0AA3">
              <w:rPr>
                <w:rFonts w:ascii="Arial" w:eastAsia="Arial" w:hAnsi="Arial" w:cs="Arial"/>
                <w:szCs w:val="20"/>
              </w:rPr>
              <w:t>140</w:t>
            </w:r>
            <w:r w:rsidRPr="009A0AA3">
              <w:rPr>
                <w:rFonts w:ascii="宋体" w:eastAsia="宋体" w:hAnsi="宋体" w:cs="宋体" w:hint="eastAsia"/>
                <w:szCs w:val="20"/>
              </w:rPr>
              <w:t>）。</w:t>
            </w:r>
            <w:r w:rsidRPr="009A0AA3">
              <w:rPr>
                <w:rFonts w:ascii="Arial" w:eastAsia="Arial" w:hAnsi="Arial" w:cs="Arial"/>
                <w:szCs w:val="20"/>
              </w:rPr>
              <w:t xml:space="preserve"> </w:t>
            </w:r>
            <w:r w:rsidRPr="009A0AA3">
              <w:rPr>
                <w:rFonts w:ascii="宋体" w:eastAsia="宋体" w:hAnsi="宋体" w:cs="宋体" w:hint="eastAsia"/>
                <w:szCs w:val="20"/>
              </w:rPr>
              <w:t>布洛芬对人体表皮重建的</w:t>
            </w:r>
            <w:r w:rsidRPr="009A0AA3">
              <w:rPr>
                <w:rFonts w:ascii="Arial" w:eastAsia="Arial" w:hAnsi="Arial" w:cs="Arial"/>
                <w:szCs w:val="20"/>
              </w:rPr>
              <w:t>GLP</w:t>
            </w:r>
            <w:r w:rsidRPr="009A0AA3">
              <w:rPr>
                <w:rFonts w:ascii="宋体" w:eastAsia="宋体" w:hAnsi="宋体" w:cs="宋体" w:hint="eastAsia"/>
                <w:szCs w:val="20"/>
              </w:rPr>
              <w:t>兼容的体外试验对皮肤没有腐蚀性或刺激性（</w:t>
            </w:r>
            <w:r w:rsidRPr="009A0AA3">
              <w:rPr>
                <w:rFonts w:ascii="Arial" w:eastAsia="Arial" w:hAnsi="Arial" w:cs="Arial"/>
                <w:szCs w:val="20"/>
              </w:rPr>
              <w:t>140</w:t>
            </w:r>
            <w:r w:rsidRPr="009A0AA3">
              <w:rPr>
                <w:rFonts w:ascii="宋体" w:eastAsia="宋体" w:hAnsi="宋体" w:cs="宋体" w:hint="eastAsia"/>
                <w:szCs w:val="20"/>
              </w:rPr>
              <w:t>）。</w:t>
            </w:r>
            <w:r w:rsidRPr="009A0AA3">
              <w:rPr>
                <w:rFonts w:ascii="Arial" w:eastAsia="Arial" w:hAnsi="Arial" w:cs="Arial"/>
                <w:szCs w:val="20"/>
              </w:rPr>
              <w:t xml:space="preserve"> </w:t>
            </w:r>
            <w:r w:rsidRPr="009A0AA3">
              <w:rPr>
                <w:rFonts w:ascii="宋体" w:eastAsia="宋体" w:hAnsi="宋体" w:cs="宋体" w:hint="eastAsia"/>
                <w:szCs w:val="20"/>
              </w:rPr>
              <w:t>在符合</w:t>
            </w:r>
            <w:r w:rsidRPr="009A0AA3">
              <w:rPr>
                <w:rFonts w:ascii="Arial" w:eastAsia="Arial" w:hAnsi="Arial" w:cs="Arial"/>
                <w:szCs w:val="20"/>
              </w:rPr>
              <w:t>GLP</w:t>
            </w:r>
            <w:r w:rsidRPr="009A0AA3">
              <w:rPr>
                <w:rFonts w:ascii="宋体" w:eastAsia="宋体" w:hAnsi="宋体" w:cs="宋体" w:hint="eastAsia"/>
                <w:szCs w:val="20"/>
              </w:rPr>
              <w:t>的体内（豚鼠最大化）测试中，布洛芬不是皮肤致敏剂（</w:t>
            </w:r>
            <w:r w:rsidRPr="009A0AA3">
              <w:rPr>
                <w:rFonts w:ascii="Arial" w:eastAsia="Arial" w:hAnsi="Arial" w:cs="Arial"/>
                <w:szCs w:val="20"/>
              </w:rPr>
              <w:t>140</w:t>
            </w:r>
            <w:r w:rsidRPr="009A0AA3">
              <w:rPr>
                <w:rFonts w:ascii="宋体" w:eastAsia="宋体" w:hAnsi="宋体" w:cs="宋体" w:hint="eastAsia"/>
                <w:szCs w:val="20"/>
              </w:rPr>
              <w:t>）。</w:t>
            </w:r>
          </w:p>
          <w:p w14:paraId="1AEA1CA0" w14:textId="33C27A86" w:rsidR="0026097E" w:rsidRPr="009A0AA3" w:rsidRDefault="00751247" w:rsidP="00751247">
            <w:pPr>
              <w:spacing w:after="0" w:line="259" w:lineRule="auto"/>
              <w:ind w:left="140" w:right="34" w:hanging="140"/>
              <w:jc w:val="left"/>
              <w:rPr>
                <w:szCs w:val="20"/>
              </w:rPr>
            </w:pPr>
            <w:r w:rsidRPr="009A0AA3">
              <w:rPr>
                <w:rFonts w:ascii="宋体" w:eastAsia="宋体" w:hAnsi="宋体" w:cs="宋体" w:hint="eastAsia"/>
                <w:szCs w:val="20"/>
              </w:rPr>
              <w:t>在某些患者中偶尔会出现过敏反应，包括腹痛，发冷，发烧，恶心和呕吐。</w:t>
            </w:r>
            <w:r w:rsidRPr="009A0AA3">
              <w:rPr>
                <w:rFonts w:ascii="Arial" w:eastAsia="Arial" w:hAnsi="Arial" w:cs="Arial"/>
                <w:szCs w:val="20"/>
              </w:rPr>
              <w:t xml:space="preserve"> </w:t>
            </w:r>
            <w:r w:rsidRPr="009A0AA3">
              <w:rPr>
                <w:rFonts w:ascii="宋体" w:eastAsia="宋体" w:hAnsi="宋体" w:cs="宋体" w:hint="eastAsia"/>
                <w:szCs w:val="20"/>
              </w:rPr>
              <w:t>也很少有过敏反应报道。</w:t>
            </w:r>
            <w:r w:rsidRPr="009A0AA3">
              <w:rPr>
                <w:rFonts w:ascii="Arial" w:eastAsia="Arial" w:hAnsi="Arial" w:cs="Arial"/>
                <w:szCs w:val="20"/>
              </w:rPr>
              <w:t xml:space="preserve"> </w:t>
            </w:r>
            <w:r w:rsidRPr="009A0AA3">
              <w:rPr>
                <w:rFonts w:ascii="宋体" w:eastAsia="宋体" w:hAnsi="宋体" w:cs="宋体" w:hint="eastAsia"/>
                <w:szCs w:val="20"/>
              </w:rPr>
              <w:t>但是，布洛芬不被认为具有很高的致敏潜力。</w:t>
            </w:r>
            <w:r w:rsidRPr="009A0AA3">
              <w:rPr>
                <w:rFonts w:ascii="Arial" w:eastAsia="Arial" w:hAnsi="Arial" w:cs="Arial"/>
                <w:szCs w:val="20"/>
              </w:rPr>
              <w:t xml:space="preserve"> </w:t>
            </w:r>
            <w:r w:rsidRPr="009A0AA3">
              <w:rPr>
                <w:rFonts w:ascii="宋体" w:eastAsia="宋体" w:hAnsi="宋体" w:cs="宋体" w:hint="eastAsia"/>
                <w:szCs w:val="20"/>
              </w:rPr>
              <w:t>所有的非</w:t>
            </w:r>
            <w:proofErr w:type="gramStart"/>
            <w:r w:rsidRPr="009A0AA3">
              <w:rPr>
                <w:rFonts w:ascii="宋体" w:eastAsia="宋体" w:hAnsi="宋体" w:cs="宋体" w:hint="eastAsia"/>
                <w:szCs w:val="20"/>
              </w:rPr>
              <w:t>甾</w:t>
            </w:r>
            <w:proofErr w:type="gramEnd"/>
            <w:r w:rsidRPr="009A0AA3">
              <w:rPr>
                <w:rFonts w:ascii="宋体" w:eastAsia="宋体" w:hAnsi="宋体" w:cs="宋体" w:hint="eastAsia"/>
                <w:szCs w:val="20"/>
              </w:rPr>
              <w:t>体抗炎药，包括布</w:t>
            </w:r>
            <w:proofErr w:type="gramStart"/>
            <w:r w:rsidRPr="009A0AA3">
              <w:rPr>
                <w:rFonts w:ascii="宋体" w:eastAsia="宋体" w:hAnsi="宋体" w:cs="宋体" w:hint="eastAsia"/>
                <w:szCs w:val="20"/>
              </w:rPr>
              <w:t>洛</w:t>
            </w:r>
            <w:proofErr w:type="gramEnd"/>
            <w:r w:rsidRPr="009A0AA3">
              <w:rPr>
                <w:rFonts w:ascii="宋体" w:eastAsia="宋体" w:hAnsi="宋体" w:cs="宋体" w:hint="eastAsia"/>
                <w:szCs w:val="20"/>
              </w:rPr>
              <w:t>芬，都可能引起严重的皮肤不良事件，例如剥脱性皮炎，史蒂文斯</w:t>
            </w:r>
            <w:r w:rsidRPr="009A0AA3">
              <w:rPr>
                <w:rFonts w:ascii="Arial" w:eastAsia="Arial" w:hAnsi="Arial" w:cs="Arial"/>
                <w:szCs w:val="20"/>
              </w:rPr>
              <w:t>-</w:t>
            </w:r>
            <w:r w:rsidRPr="009A0AA3">
              <w:rPr>
                <w:rFonts w:ascii="宋体" w:eastAsia="宋体" w:hAnsi="宋体" w:cs="宋体" w:hint="eastAsia"/>
                <w:szCs w:val="20"/>
              </w:rPr>
              <w:t>约翰逊综合征</w:t>
            </w:r>
            <w:r w:rsidRPr="009A0AA3">
              <w:rPr>
                <w:rFonts w:ascii="Arial" w:eastAsia="Arial" w:hAnsi="Arial" w:cs="Arial"/>
                <w:szCs w:val="20"/>
              </w:rPr>
              <w:t>/</w:t>
            </w:r>
            <w:r w:rsidRPr="009A0AA3">
              <w:rPr>
                <w:rFonts w:ascii="宋体" w:eastAsia="宋体" w:hAnsi="宋体" w:cs="宋体" w:hint="eastAsia"/>
                <w:szCs w:val="20"/>
              </w:rPr>
              <w:t>中毒性表皮坏死症（</w:t>
            </w:r>
            <w:r w:rsidRPr="009A0AA3">
              <w:rPr>
                <w:rFonts w:ascii="Arial" w:eastAsia="Arial" w:hAnsi="Arial" w:cs="Arial"/>
                <w:szCs w:val="20"/>
              </w:rPr>
              <w:t>SJS / TEN</w:t>
            </w:r>
            <w:r w:rsidRPr="009A0AA3">
              <w:rPr>
                <w:rFonts w:ascii="宋体" w:eastAsia="宋体" w:hAnsi="宋体" w:cs="宋体" w:hint="eastAsia"/>
                <w:szCs w:val="20"/>
              </w:rPr>
              <w:t>），这可能是致命的。</w:t>
            </w:r>
          </w:p>
        </w:tc>
      </w:tr>
      <w:tr w:rsidR="0026097E" w14:paraId="4DF962ED" w14:textId="77777777" w:rsidTr="009A0AA3">
        <w:trPr>
          <w:trHeight w:val="2210"/>
        </w:trPr>
        <w:tc>
          <w:tcPr>
            <w:tcW w:w="1701" w:type="dxa"/>
            <w:tcBorders>
              <w:top w:val="nil"/>
              <w:left w:val="nil"/>
              <w:bottom w:val="nil"/>
              <w:right w:val="nil"/>
            </w:tcBorders>
          </w:tcPr>
          <w:p w14:paraId="47FC5F75" w14:textId="5F5D6BFB" w:rsidR="0026097E" w:rsidRPr="009A0AA3" w:rsidRDefault="00751247">
            <w:pPr>
              <w:spacing w:after="0" w:line="259" w:lineRule="auto"/>
              <w:ind w:firstLine="0"/>
              <w:jc w:val="left"/>
              <w:rPr>
                <w:szCs w:val="20"/>
              </w:rPr>
            </w:pPr>
            <w:r w:rsidRPr="009A0AA3">
              <w:rPr>
                <w:rFonts w:ascii="宋体" w:eastAsia="宋体" w:hAnsi="宋体" w:cs="宋体" w:hint="eastAsia"/>
                <w:szCs w:val="20"/>
              </w:rPr>
              <w:t>药代动力学特性</w:t>
            </w:r>
          </w:p>
        </w:tc>
        <w:tc>
          <w:tcPr>
            <w:tcW w:w="8721" w:type="dxa"/>
            <w:tcBorders>
              <w:top w:val="nil"/>
              <w:left w:val="nil"/>
              <w:bottom w:val="nil"/>
              <w:right w:val="nil"/>
            </w:tcBorders>
          </w:tcPr>
          <w:p w14:paraId="0C715B88" w14:textId="77777777" w:rsidR="00751247" w:rsidRPr="009A0AA3" w:rsidRDefault="00751247" w:rsidP="00751247">
            <w:pPr>
              <w:spacing w:after="0" w:line="272" w:lineRule="auto"/>
              <w:ind w:left="140" w:right="1" w:hanging="140"/>
              <w:jc w:val="left"/>
              <w:rPr>
                <w:rFonts w:ascii="Arial" w:eastAsia="Arial" w:hAnsi="Arial" w:cs="Arial"/>
                <w:szCs w:val="20"/>
              </w:rPr>
            </w:pPr>
            <w:r w:rsidRPr="009A0AA3">
              <w:rPr>
                <w:rFonts w:ascii="宋体" w:eastAsia="宋体" w:hAnsi="宋体" w:cs="宋体" w:hint="eastAsia"/>
                <w:szCs w:val="20"/>
              </w:rPr>
              <w:t>布洛芬迅速且几乎完全从上消化道吸收，吸收半衰期为</w:t>
            </w:r>
            <w:r w:rsidRPr="009A0AA3">
              <w:rPr>
                <w:rFonts w:ascii="Arial" w:eastAsia="Arial" w:hAnsi="Arial" w:cs="Arial"/>
                <w:szCs w:val="20"/>
              </w:rPr>
              <w:t>0.3-0.9 h</w:t>
            </w:r>
            <w:r w:rsidRPr="009A0AA3">
              <w:rPr>
                <w:rFonts w:ascii="宋体" w:eastAsia="宋体" w:hAnsi="宋体" w:cs="宋体" w:hint="eastAsia"/>
                <w:szCs w:val="20"/>
              </w:rPr>
              <w:t>（</w:t>
            </w:r>
            <w:r w:rsidRPr="009A0AA3">
              <w:rPr>
                <w:rFonts w:ascii="Arial" w:eastAsia="Arial" w:hAnsi="Arial" w:cs="Arial"/>
                <w:szCs w:val="20"/>
              </w:rPr>
              <w:t>143</w:t>
            </w:r>
            <w:r w:rsidRPr="009A0AA3">
              <w:rPr>
                <w:rFonts w:ascii="宋体" w:eastAsia="宋体" w:hAnsi="宋体" w:cs="宋体" w:hint="eastAsia"/>
                <w:szCs w:val="20"/>
              </w:rPr>
              <w:t>），血清半衰期为</w:t>
            </w:r>
            <w:r w:rsidRPr="009A0AA3">
              <w:rPr>
                <w:rFonts w:ascii="Arial" w:eastAsia="Arial" w:hAnsi="Arial" w:cs="Arial"/>
                <w:szCs w:val="20"/>
              </w:rPr>
              <w:t>1.8-2.0 h</w:t>
            </w:r>
            <w:r w:rsidRPr="009A0AA3">
              <w:rPr>
                <w:rFonts w:ascii="宋体" w:eastAsia="宋体" w:hAnsi="宋体" w:cs="宋体" w:hint="eastAsia"/>
                <w:szCs w:val="20"/>
              </w:rPr>
              <w:t>（</w:t>
            </w:r>
            <w:r w:rsidRPr="009A0AA3">
              <w:rPr>
                <w:rFonts w:ascii="Arial" w:eastAsia="Arial" w:hAnsi="Arial" w:cs="Arial"/>
                <w:szCs w:val="20"/>
              </w:rPr>
              <w:t>135</w:t>
            </w:r>
            <w:r w:rsidRPr="009A0AA3">
              <w:rPr>
                <w:rFonts w:ascii="宋体" w:eastAsia="宋体" w:hAnsi="宋体" w:cs="宋体" w:hint="eastAsia"/>
                <w:szCs w:val="20"/>
              </w:rPr>
              <w:t>）。最后一次给药后</w:t>
            </w:r>
            <w:r w:rsidRPr="009A0AA3">
              <w:rPr>
                <w:rFonts w:ascii="Arial" w:eastAsia="Arial" w:hAnsi="Arial" w:cs="Arial"/>
                <w:szCs w:val="20"/>
              </w:rPr>
              <w:t>24</w:t>
            </w:r>
            <w:r w:rsidRPr="009A0AA3">
              <w:rPr>
                <w:rFonts w:ascii="宋体" w:eastAsia="宋体" w:hAnsi="宋体" w:cs="宋体" w:hint="eastAsia"/>
                <w:szCs w:val="20"/>
              </w:rPr>
              <w:t>小时，布洛芬的排泄实际上已完成（</w:t>
            </w:r>
            <w:r w:rsidRPr="009A0AA3">
              <w:rPr>
                <w:rFonts w:ascii="Arial" w:eastAsia="Arial" w:hAnsi="Arial" w:cs="Arial"/>
                <w:szCs w:val="20"/>
              </w:rPr>
              <w:t>135</w:t>
            </w:r>
            <w:r w:rsidRPr="009A0AA3">
              <w:rPr>
                <w:rFonts w:ascii="宋体" w:eastAsia="宋体" w:hAnsi="宋体" w:cs="宋体" w:hint="eastAsia"/>
                <w:szCs w:val="20"/>
              </w:rPr>
              <w:t>）。据报道布洛芬赖氨酸盐具有完全的口服生物利用度。据报道血浆峰值浓度在</w:t>
            </w:r>
            <w:r w:rsidRPr="009A0AA3">
              <w:rPr>
                <w:rFonts w:ascii="Arial" w:eastAsia="Arial" w:hAnsi="Arial" w:cs="Arial"/>
                <w:szCs w:val="20"/>
              </w:rPr>
              <w:t>2-3</w:t>
            </w:r>
            <w:r w:rsidRPr="009A0AA3">
              <w:rPr>
                <w:rFonts w:ascii="宋体" w:eastAsia="宋体" w:hAnsi="宋体" w:cs="宋体" w:hint="eastAsia"/>
                <w:szCs w:val="20"/>
              </w:rPr>
              <w:t>小时内发生，但如果与食物一起服用可能会延迟至</w:t>
            </w:r>
            <w:r w:rsidRPr="009A0AA3">
              <w:rPr>
                <w:rFonts w:ascii="Arial" w:eastAsia="Arial" w:hAnsi="Arial" w:cs="Arial"/>
                <w:szCs w:val="20"/>
              </w:rPr>
              <w:t>1</w:t>
            </w:r>
            <w:r w:rsidRPr="009A0AA3">
              <w:rPr>
                <w:rFonts w:ascii="宋体" w:eastAsia="宋体" w:hAnsi="宋体" w:cs="宋体" w:hint="eastAsia"/>
                <w:szCs w:val="20"/>
              </w:rPr>
              <w:t>小时。</w:t>
            </w:r>
          </w:p>
          <w:p w14:paraId="73D12095" w14:textId="77777777" w:rsidR="00751247" w:rsidRPr="009A0AA3" w:rsidRDefault="00751247" w:rsidP="00751247">
            <w:pPr>
              <w:spacing w:after="0" w:line="272" w:lineRule="auto"/>
              <w:ind w:left="140" w:right="1" w:hanging="140"/>
              <w:jc w:val="left"/>
              <w:rPr>
                <w:rFonts w:ascii="Arial" w:eastAsia="Arial" w:hAnsi="Arial" w:cs="Arial"/>
                <w:szCs w:val="20"/>
              </w:rPr>
            </w:pPr>
            <w:r w:rsidRPr="009A0AA3">
              <w:rPr>
                <w:rFonts w:ascii="宋体" w:eastAsia="宋体" w:hAnsi="宋体" w:cs="宋体" w:hint="eastAsia"/>
                <w:szCs w:val="20"/>
              </w:rPr>
              <w:t>布洛芬通过氧化被部分代谢为非活性代谢物，其中大部分通过尿液排出体外。其余剂量从粪便中排出，通常在</w:t>
            </w:r>
            <w:r w:rsidRPr="009A0AA3">
              <w:rPr>
                <w:rFonts w:ascii="Arial" w:eastAsia="Arial" w:hAnsi="Arial" w:cs="Arial"/>
                <w:szCs w:val="20"/>
              </w:rPr>
              <w:t>24</w:t>
            </w:r>
            <w:r w:rsidRPr="009A0AA3">
              <w:rPr>
                <w:rFonts w:ascii="宋体" w:eastAsia="宋体" w:hAnsi="宋体" w:cs="宋体" w:hint="eastAsia"/>
                <w:szCs w:val="20"/>
              </w:rPr>
              <w:t>小时内完全消除。成年人的血浆半衰期约为</w:t>
            </w:r>
            <w:r w:rsidRPr="009A0AA3">
              <w:rPr>
                <w:rFonts w:ascii="Arial" w:eastAsia="Arial" w:hAnsi="Arial" w:cs="Arial"/>
                <w:szCs w:val="20"/>
              </w:rPr>
              <w:t>2-4</w:t>
            </w:r>
            <w:r w:rsidRPr="009A0AA3">
              <w:rPr>
                <w:rFonts w:ascii="宋体" w:eastAsia="宋体" w:hAnsi="宋体" w:cs="宋体" w:hint="eastAsia"/>
                <w:szCs w:val="20"/>
              </w:rPr>
              <w:t>小时，而少于</w:t>
            </w:r>
            <w:r w:rsidRPr="009A0AA3">
              <w:rPr>
                <w:rFonts w:ascii="Arial" w:eastAsia="Arial" w:hAnsi="Arial" w:cs="Arial"/>
                <w:szCs w:val="20"/>
              </w:rPr>
              <w:t>30</w:t>
            </w:r>
            <w:r w:rsidRPr="009A0AA3">
              <w:rPr>
                <w:rFonts w:ascii="宋体" w:eastAsia="宋体" w:hAnsi="宋体" w:cs="宋体" w:hint="eastAsia"/>
                <w:szCs w:val="20"/>
              </w:rPr>
              <w:t>周的婴儿的血浆半衰期约为</w:t>
            </w:r>
            <w:r w:rsidRPr="009A0AA3">
              <w:rPr>
                <w:rFonts w:ascii="Arial" w:eastAsia="Arial" w:hAnsi="Arial" w:cs="Arial"/>
                <w:szCs w:val="20"/>
              </w:rPr>
              <w:t>30.5-43.1 h</w:t>
            </w:r>
            <w:r w:rsidRPr="009A0AA3">
              <w:rPr>
                <w:rFonts w:ascii="宋体" w:eastAsia="宋体" w:hAnsi="宋体" w:cs="宋体" w:hint="eastAsia"/>
                <w:szCs w:val="20"/>
              </w:rPr>
              <w:t>（</w:t>
            </w:r>
            <w:r w:rsidRPr="009A0AA3">
              <w:rPr>
                <w:rFonts w:ascii="Arial" w:eastAsia="Arial" w:hAnsi="Arial" w:cs="Arial"/>
                <w:szCs w:val="20"/>
              </w:rPr>
              <w:t>135</w:t>
            </w:r>
            <w:r w:rsidRPr="009A0AA3">
              <w:rPr>
                <w:rFonts w:ascii="宋体" w:eastAsia="宋体" w:hAnsi="宋体" w:cs="宋体" w:hint="eastAsia"/>
                <w:szCs w:val="20"/>
              </w:rPr>
              <w:t>）。</w:t>
            </w:r>
          </w:p>
          <w:p w14:paraId="4A9B96EA" w14:textId="38DBEC77" w:rsidR="0026097E" w:rsidRPr="009A0AA3" w:rsidRDefault="00751247" w:rsidP="00751247">
            <w:pPr>
              <w:spacing w:after="0" w:line="259" w:lineRule="auto"/>
              <w:ind w:left="140" w:hanging="140"/>
              <w:jc w:val="left"/>
              <w:rPr>
                <w:szCs w:val="20"/>
              </w:rPr>
            </w:pPr>
            <w:r w:rsidRPr="009A0AA3">
              <w:rPr>
                <w:rFonts w:ascii="宋体" w:eastAsia="宋体" w:hAnsi="宋体" w:cs="宋体" w:hint="eastAsia"/>
                <w:szCs w:val="20"/>
              </w:rPr>
              <w:t>与口服片剂相比，经皮给药</w:t>
            </w:r>
            <w:r w:rsidRPr="009A0AA3">
              <w:rPr>
                <w:rFonts w:ascii="Arial" w:eastAsia="Arial" w:hAnsi="Arial" w:cs="Arial"/>
                <w:szCs w:val="20"/>
              </w:rPr>
              <w:t>300 mg</w:t>
            </w:r>
            <w:r w:rsidRPr="009A0AA3">
              <w:rPr>
                <w:rFonts w:ascii="宋体" w:eastAsia="宋体" w:hAnsi="宋体" w:cs="宋体" w:hint="eastAsia"/>
                <w:szCs w:val="20"/>
              </w:rPr>
              <w:t>布洛芬乳膏</w:t>
            </w:r>
            <w:r w:rsidRPr="009A0AA3">
              <w:rPr>
                <w:rFonts w:ascii="Arial" w:eastAsia="Arial" w:hAnsi="Arial" w:cs="Arial"/>
                <w:szCs w:val="20"/>
              </w:rPr>
              <w:t>2</w:t>
            </w:r>
            <w:r w:rsidRPr="009A0AA3">
              <w:rPr>
                <w:rFonts w:ascii="宋体" w:eastAsia="宋体" w:hAnsi="宋体" w:cs="宋体" w:hint="eastAsia"/>
                <w:szCs w:val="20"/>
              </w:rPr>
              <w:t>小时后的</w:t>
            </w:r>
            <w:proofErr w:type="spellStart"/>
            <w:r w:rsidRPr="009A0AA3">
              <w:rPr>
                <w:rFonts w:ascii="Arial" w:eastAsia="Arial" w:hAnsi="Arial" w:cs="Arial"/>
                <w:szCs w:val="20"/>
              </w:rPr>
              <w:t>Cmax</w:t>
            </w:r>
            <w:proofErr w:type="spellEnd"/>
            <w:r w:rsidRPr="009A0AA3">
              <w:rPr>
                <w:rFonts w:ascii="宋体" w:eastAsia="宋体" w:hAnsi="宋体" w:cs="宋体" w:hint="eastAsia"/>
                <w:szCs w:val="20"/>
              </w:rPr>
              <w:t>达到</w:t>
            </w:r>
            <w:r w:rsidRPr="009A0AA3">
              <w:rPr>
                <w:rFonts w:ascii="Arial" w:eastAsia="Arial" w:hAnsi="Arial" w:cs="Arial"/>
                <w:szCs w:val="20"/>
              </w:rPr>
              <w:t>0.64 mg / L</w:t>
            </w:r>
            <w:r w:rsidRPr="009A0AA3">
              <w:rPr>
                <w:rFonts w:ascii="宋体" w:eastAsia="宋体" w:hAnsi="宋体" w:cs="宋体" w:hint="eastAsia"/>
                <w:szCs w:val="20"/>
              </w:rPr>
              <w:t>，相对生物利用度为</w:t>
            </w:r>
            <w:r w:rsidRPr="009A0AA3">
              <w:rPr>
                <w:rFonts w:ascii="Arial" w:eastAsia="Arial" w:hAnsi="Arial" w:cs="Arial"/>
                <w:szCs w:val="20"/>
              </w:rPr>
              <w:t>5</w:t>
            </w:r>
            <w:r w:rsidRPr="009A0AA3">
              <w:rPr>
                <w:rFonts w:ascii="宋体" w:eastAsia="宋体" w:hAnsi="宋体" w:cs="宋体" w:hint="eastAsia"/>
                <w:szCs w:val="20"/>
              </w:rPr>
              <w:t>％。布洛芬凝胶的局部应用显示血浆中的浓度极低，在局部应用</w:t>
            </w:r>
            <w:r w:rsidRPr="009A0AA3">
              <w:rPr>
                <w:rFonts w:ascii="Arial" w:eastAsia="Arial" w:hAnsi="Arial" w:cs="Arial"/>
                <w:szCs w:val="20"/>
              </w:rPr>
              <w:t>400 mg</w:t>
            </w:r>
            <w:r w:rsidRPr="009A0AA3">
              <w:rPr>
                <w:rFonts w:ascii="宋体" w:eastAsia="宋体" w:hAnsi="宋体" w:cs="宋体" w:hint="eastAsia"/>
                <w:szCs w:val="20"/>
              </w:rPr>
              <w:t>凝胶后，经皮吸收约</w:t>
            </w:r>
            <w:r w:rsidRPr="009A0AA3">
              <w:rPr>
                <w:rFonts w:ascii="Arial" w:eastAsia="Arial" w:hAnsi="Arial" w:cs="Arial"/>
                <w:szCs w:val="20"/>
              </w:rPr>
              <w:t>3</w:t>
            </w:r>
            <w:r w:rsidRPr="009A0AA3">
              <w:rPr>
                <w:rFonts w:ascii="宋体" w:eastAsia="宋体" w:hAnsi="宋体" w:cs="宋体" w:hint="eastAsia"/>
                <w:szCs w:val="20"/>
              </w:rPr>
              <w:t>％的剂量后，</w:t>
            </w:r>
            <w:proofErr w:type="spellStart"/>
            <w:r w:rsidRPr="009A0AA3">
              <w:rPr>
                <w:rFonts w:ascii="Arial" w:eastAsia="Arial" w:hAnsi="Arial" w:cs="Arial"/>
                <w:szCs w:val="20"/>
              </w:rPr>
              <w:t>Cmax</w:t>
            </w:r>
            <w:proofErr w:type="spellEnd"/>
            <w:r w:rsidRPr="009A0AA3">
              <w:rPr>
                <w:rFonts w:ascii="宋体" w:eastAsia="宋体" w:hAnsi="宋体" w:cs="宋体" w:hint="eastAsia"/>
                <w:szCs w:val="20"/>
              </w:rPr>
              <w:t>为</w:t>
            </w:r>
            <w:r w:rsidRPr="009A0AA3">
              <w:rPr>
                <w:rFonts w:ascii="Arial" w:eastAsia="Arial" w:hAnsi="Arial" w:cs="Arial"/>
                <w:szCs w:val="20"/>
              </w:rPr>
              <w:t>0.2 mg / L</w:t>
            </w:r>
            <w:r w:rsidRPr="009A0AA3">
              <w:rPr>
                <w:rFonts w:ascii="宋体" w:eastAsia="宋体" w:hAnsi="宋体" w:cs="宋体" w:hint="eastAsia"/>
                <w:szCs w:val="20"/>
              </w:rPr>
              <w:t>。与标准片剂相比，布</w:t>
            </w:r>
            <w:proofErr w:type="gramStart"/>
            <w:r w:rsidRPr="009A0AA3">
              <w:rPr>
                <w:rFonts w:ascii="宋体" w:eastAsia="宋体" w:hAnsi="宋体" w:cs="宋体" w:hint="eastAsia"/>
                <w:szCs w:val="20"/>
              </w:rPr>
              <w:t>洛</w:t>
            </w:r>
            <w:proofErr w:type="gramEnd"/>
            <w:r w:rsidRPr="009A0AA3">
              <w:rPr>
                <w:rFonts w:ascii="宋体" w:eastAsia="宋体" w:hAnsi="宋体" w:cs="宋体" w:hint="eastAsia"/>
                <w:szCs w:val="20"/>
              </w:rPr>
              <w:t>芬凝胶制剂经</w:t>
            </w:r>
            <w:proofErr w:type="gramStart"/>
            <w:r w:rsidRPr="009A0AA3">
              <w:rPr>
                <w:rFonts w:ascii="宋体" w:eastAsia="宋体" w:hAnsi="宋体" w:cs="宋体" w:hint="eastAsia"/>
                <w:szCs w:val="20"/>
              </w:rPr>
              <w:t>皮应用</w:t>
            </w:r>
            <w:proofErr w:type="gramEnd"/>
            <w:r w:rsidRPr="009A0AA3">
              <w:rPr>
                <w:rFonts w:ascii="宋体" w:eastAsia="宋体" w:hAnsi="宋体" w:cs="宋体" w:hint="eastAsia"/>
                <w:szCs w:val="20"/>
              </w:rPr>
              <w:t>闭塞</w:t>
            </w:r>
            <w:r w:rsidRPr="009A0AA3">
              <w:rPr>
                <w:rFonts w:ascii="Arial" w:eastAsia="Arial" w:hAnsi="Arial" w:cs="Arial"/>
                <w:szCs w:val="20"/>
              </w:rPr>
              <w:t>2 h</w:t>
            </w:r>
            <w:r w:rsidRPr="009A0AA3">
              <w:rPr>
                <w:rFonts w:ascii="宋体" w:eastAsia="宋体" w:hAnsi="宋体" w:cs="宋体" w:hint="eastAsia"/>
                <w:szCs w:val="20"/>
              </w:rPr>
              <w:t>的相对生物利用度为</w:t>
            </w:r>
            <w:r w:rsidRPr="009A0AA3">
              <w:rPr>
                <w:rFonts w:ascii="Arial" w:eastAsia="Arial" w:hAnsi="Arial" w:cs="Arial"/>
                <w:szCs w:val="20"/>
              </w:rPr>
              <w:t>22</w:t>
            </w:r>
            <w:r w:rsidRPr="009A0AA3">
              <w:rPr>
                <w:rFonts w:ascii="宋体" w:eastAsia="宋体" w:hAnsi="宋体" w:cs="宋体" w:hint="eastAsia"/>
                <w:szCs w:val="20"/>
              </w:rPr>
              <w:t>％（</w:t>
            </w:r>
            <w:r w:rsidRPr="009A0AA3">
              <w:rPr>
                <w:rFonts w:ascii="Arial" w:eastAsia="Arial" w:hAnsi="Arial" w:cs="Arial"/>
                <w:szCs w:val="20"/>
              </w:rPr>
              <w:t>144</w:t>
            </w:r>
            <w:r w:rsidRPr="009A0AA3">
              <w:rPr>
                <w:rFonts w:ascii="宋体" w:eastAsia="宋体" w:hAnsi="宋体" w:cs="宋体" w:hint="eastAsia"/>
                <w:szCs w:val="20"/>
              </w:rPr>
              <w:t>）。</w:t>
            </w:r>
          </w:p>
        </w:tc>
      </w:tr>
      <w:tr w:rsidR="0026097E" w:rsidRPr="009A0AA3" w14:paraId="76258072" w14:textId="77777777" w:rsidTr="009A0AA3">
        <w:trPr>
          <w:trHeight w:val="680"/>
        </w:trPr>
        <w:tc>
          <w:tcPr>
            <w:tcW w:w="1701" w:type="dxa"/>
            <w:tcBorders>
              <w:top w:val="nil"/>
              <w:left w:val="nil"/>
              <w:bottom w:val="nil"/>
              <w:right w:val="nil"/>
            </w:tcBorders>
          </w:tcPr>
          <w:p w14:paraId="735508B8" w14:textId="432C7A80" w:rsidR="0026097E" w:rsidRPr="009A0AA3" w:rsidRDefault="00751247">
            <w:pPr>
              <w:spacing w:after="0" w:line="259" w:lineRule="auto"/>
              <w:ind w:firstLine="0"/>
              <w:jc w:val="left"/>
              <w:rPr>
                <w:szCs w:val="20"/>
              </w:rPr>
            </w:pPr>
            <w:r w:rsidRPr="009A0AA3">
              <w:rPr>
                <w:rFonts w:ascii="宋体" w:eastAsia="宋体" w:hAnsi="宋体" w:cs="宋体" w:hint="eastAsia"/>
                <w:szCs w:val="20"/>
              </w:rPr>
              <w:t>治疗剂量</w:t>
            </w:r>
          </w:p>
        </w:tc>
        <w:tc>
          <w:tcPr>
            <w:tcW w:w="8721" w:type="dxa"/>
            <w:tcBorders>
              <w:top w:val="nil"/>
              <w:left w:val="nil"/>
              <w:bottom w:val="nil"/>
              <w:right w:val="nil"/>
            </w:tcBorders>
          </w:tcPr>
          <w:p w14:paraId="65CEC1CD" w14:textId="77777777" w:rsidR="00751247" w:rsidRPr="009A0AA3" w:rsidRDefault="00751247" w:rsidP="00751247">
            <w:pPr>
              <w:spacing w:after="0" w:line="267" w:lineRule="auto"/>
              <w:ind w:left="12" w:right="66" w:hanging="12"/>
              <w:jc w:val="center"/>
              <w:rPr>
                <w:rFonts w:ascii="Arial" w:eastAsia="Arial" w:hAnsi="Arial" w:cs="Arial"/>
                <w:szCs w:val="20"/>
              </w:rPr>
            </w:pPr>
            <w:r w:rsidRPr="009A0AA3">
              <w:rPr>
                <w:rFonts w:ascii="宋体" w:eastAsia="宋体" w:hAnsi="宋体" w:cs="宋体" w:hint="eastAsia"/>
                <w:szCs w:val="20"/>
              </w:rPr>
              <w:t>最低有效剂量应用于缓解症状所需的最短持续时间。</w:t>
            </w:r>
            <w:r w:rsidRPr="009A0AA3">
              <w:rPr>
                <w:rFonts w:ascii="Arial" w:eastAsia="Arial" w:hAnsi="Arial" w:cs="Arial"/>
                <w:szCs w:val="20"/>
              </w:rPr>
              <w:t xml:space="preserve"> </w:t>
            </w:r>
            <w:r w:rsidRPr="009A0AA3">
              <w:rPr>
                <w:rFonts w:ascii="宋体" w:eastAsia="宋体" w:hAnsi="宋体" w:cs="宋体" w:hint="eastAsia"/>
                <w:szCs w:val="20"/>
              </w:rPr>
              <w:t>在成年人中，必要时每</w:t>
            </w:r>
            <w:r w:rsidRPr="009A0AA3">
              <w:rPr>
                <w:rFonts w:ascii="Arial" w:eastAsia="Arial" w:hAnsi="Arial" w:cs="Arial"/>
                <w:szCs w:val="20"/>
              </w:rPr>
              <w:t>4</w:t>
            </w:r>
            <w:r w:rsidRPr="009A0AA3">
              <w:rPr>
                <w:rFonts w:ascii="宋体" w:eastAsia="宋体" w:hAnsi="宋体" w:cs="宋体" w:hint="eastAsia"/>
                <w:szCs w:val="20"/>
              </w:rPr>
              <w:t>小时服用</w:t>
            </w:r>
            <w:r w:rsidRPr="009A0AA3">
              <w:rPr>
                <w:rFonts w:ascii="Arial" w:eastAsia="Arial" w:hAnsi="Arial" w:cs="Arial"/>
                <w:szCs w:val="20"/>
              </w:rPr>
              <w:t>200</w:t>
            </w:r>
            <w:r w:rsidRPr="009A0AA3">
              <w:rPr>
                <w:rFonts w:ascii="宋体" w:eastAsia="宋体" w:hAnsi="宋体" w:cs="宋体" w:hint="eastAsia"/>
                <w:szCs w:val="20"/>
              </w:rPr>
              <w:t>至</w:t>
            </w:r>
            <w:r w:rsidRPr="009A0AA3">
              <w:rPr>
                <w:rFonts w:ascii="Arial" w:eastAsia="Arial" w:hAnsi="Arial" w:cs="Arial"/>
                <w:szCs w:val="20"/>
              </w:rPr>
              <w:t>600 mg</w:t>
            </w:r>
            <w:r w:rsidRPr="009A0AA3">
              <w:rPr>
                <w:rFonts w:ascii="宋体" w:eastAsia="宋体" w:hAnsi="宋体" w:cs="宋体" w:hint="eastAsia"/>
                <w:szCs w:val="20"/>
              </w:rPr>
              <w:t>的剂量，每天最多</w:t>
            </w:r>
            <w:r w:rsidRPr="009A0AA3">
              <w:rPr>
                <w:rFonts w:ascii="Arial" w:eastAsia="Arial" w:hAnsi="Arial" w:cs="Arial"/>
                <w:szCs w:val="20"/>
              </w:rPr>
              <w:t>3</w:t>
            </w:r>
            <w:r w:rsidRPr="009A0AA3">
              <w:rPr>
                <w:rFonts w:ascii="宋体" w:eastAsia="宋体" w:hAnsi="宋体" w:cs="宋体" w:hint="eastAsia"/>
                <w:szCs w:val="20"/>
              </w:rPr>
              <w:t>次，与食物一起食用或餐后服用。</w:t>
            </w:r>
            <w:r w:rsidRPr="009A0AA3">
              <w:rPr>
                <w:rFonts w:ascii="Arial" w:eastAsia="Arial" w:hAnsi="Arial" w:cs="Arial"/>
                <w:szCs w:val="20"/>
              </w:rPr>
              <w:t xml:space="preserve"> </w:t>
            </w:r>
            <w:r w:rsidRPr="009A0AA3">
              <w:rPr>
                <w:rFonts w:ascii="宋体" w:eastAsia="宋体" w:hAnsi="宋体" w:cs="宋体" w:hint="eastAsia"/>
                <w:szCs w:val="20"/>
              </w:rPr>
              <w:t>剂量不应每</w:t>
            </w:r>
            <w:r w:rsidRPr="009A0AA3">
              <w:rPr>
                <w:rFonts w:ascii="Arial" w:eastAsia="Arial" w:hAnsi="Arial" w:cs="Arial"/>
                <w:szCs w:val="20"/>
              </w:rPr>
              <w:t>4</w:t>
            </w:r>
            <w:r w:rsidRPr="009A0AA3">
              <w:rPr>
                <w:rFonts w:ascii="宋体" w:eastAsia="宋体" w:hAnsi="宋体" w:cs="宋体" w:hint="eastAsia"/>
                <w:szCs w:val="20"/>
              </w:rPr>
              <w:t>小时重复一次，并且在</w:t>
            </w:r>
            <w:r w:rsidRPr="009A0AA3">
              <w:rPr>
                <w:rFonts w:ascii="Arial" w:eastAsia="Arial" w:hAnsi="Arial" w:cs="Arial"/>
                <w:szCs w:val="20"/>
              </w:rPr>
              <w:t>24</w:t>
            </w:r>
            <w:r w:rsidRPr="009A0AA3">
              <w:rPr>
                <w:rFonts w:ascii="宋体" w:eastAsia="宋体" w:hAnsi="宋体" w:cs="宋体" w:hint="eastAsia"/>
                <w:szCs w:val="20"/>
              </w:rPr>
              <w:t>小时内应不超过</w:t>
            </w:r>
            <w:r w:rsidRPr="009A0AA3">
              <w:rPr>
                <w:rFonts w:ascii="Arial" w:eastAsia="Arial" w:hAnsi="Arial" w:cs="Arial"/>
                <w:szCs w:val="20"/>
              </w:rPr>
              <w:t>2400 mg</w:t>
            </w:r>
            <w:r w:rsidRPr="009A0AA3">
              <w:rPr>
                <w:rFonts w:ascii="宋体" w:eastAsia="宋体" w:hAnsi="宋体" w:cs="宋体" w:hint="eastAsia"/>
                <w:szCs w:val="20"/>
              </w:rPr>
              <w:t>。</w:t>
            </w:r>
          </w:p>
          <w:p w14:paraId="48440FF8" w14:textId="47EDB7B4" w:rsidR="0026097E" w:rsidRPr="009A0AA3" w:rsidRDefault="00751247" w:rsidP="00751247">
            <w:pPr>
              <w:spacing w:after="0" w:line="259" w:lineRule="auto"/>
              <w:ind w:left="140" w:firstLine="0"/>
              <w:jc w:val="left"/>
              <w:rPr>
                <w:szCs w:val="20"/>
              </w:rPr>
            </w:pPr>
            <w:r w:rsidRPr="009A0AA3">
              <w:rPr>
                <w:rFonts w:ascii="Arial" w:eastAsia="Arial" w:hAnsi="Arial" w:cs="Arial"/>
                <w:szCs w:val="20"/>
              </w:rPr>
              <w:t>6-11</w:t>
            </w:r>
            <w:r w:rsidRPr="009A0AA3">
              <w:rPr>
                <w:rFonts w:ascii="宋体" w:eastAsia="宋体" w:hAnsi="宋体" w:cs="宋体" w:hint="eastAsia"/>
                <w:szCs w:val="20"/>
              </w:rPr>
              <w:t>个月大且</w:t>
            </w:r>
            <w:r w:rsidRPr="009A0AA3">
              <w:rPr>
                <w:rFonts w:ascii="Arial" w:eastAsia="Arial" w:hAnsi="Arial" w:cs="Arial"/>
                <w:szCs w:val="20"/>
              </w:rPr>
              <w:t>5.4-7.7</w:t>
            </w:r>
            <w:r w:rsidRPr="009A0AA3">
              <w:rPr>
                <w:rFonts w:ascii="宋体" w:eastAsia="宋体" w:hAnsi="宋体" w:cs="宋体" w:hint="eastAsia"/>
                <w:szCs w:val="20"/>
              </w:rPr>
              <w:t>千克婴儿的固定最低剂量为</w:t>
            </w:r>
            <w:r w:rsidRPr="009A0AA3">
              <w:rPr>
                <w:rFonts w:ascii="Arial" w:eastAsia="Arial" w:hAnsi="Arial" w:cs="Arial"/>
                <w:szCs w:val="20"/>
              </w:rPr>
              <w:t>50</w:t>
            </w:r>
            <w:r w:rsidRPr="009A0AA3">
              <w:rPr>
                <w:rFonts w:ascii="宋体" w:eastAsia="宋体" w:hAnsi="宋体" w:cs="宋体" w:hint="eastAsia"/>
                <w:szCs w:val="20"/>
              </w:rPr>
              <w:t>毫克。</w:t>
            </w:r>
          </w:p>
        </w:tc>
      </w:tr>
      <w:tr w:rsidR="0026097E" w:rsidRPr="009A0AA3" w14:paraId="47AEEFE4" w14:textId="77777777" w:rsidTr="009A0AA3">
        <w:trPr>
          <w:trHeight w:val="659"/>
        </w:trPr>
        <w:tc>
          <w:tcPr>
            <w:tcW w:w="1701" w:type="dxa"/>
            <w:tcBorders>
              <w:top w:val="nil"/>
              <w:left w:val="nil"/>
              <w:bottom w:val="nil"/>
              <w:right w:val="nil"/>
            </w:tcBorders>
          </w:tcPr>
          <w:p w14:paraId="17BD9013" w14:textId="1F1B3EE0" w:rsidR="0026097E" w:rsidRPr="009A0AA3" w:rsidRDefault="00751247">
            <w:pPr>
              <w:spacing w:after="0" w:line="259" w:lineRule="auto"/>
              <w:ind w:firstLine="0"/>
              <w:jc w:val="left"/>
              <w:rPr>
                <w:szCs w:val="20"/>
              </w:rPr>
            </w:pPr>
            <w:r w:rsidRPr="009A0AA3">
              <w:rPr>
                <w:rFonts w:ascii="宋体" w:eastAsia="宋体" w:hAnsi="宋体" w:cs="宋体" w:hint="eastAsia"/>
                <w:szCs w:val="20"/>
              </w:rPr>
              <w:t>敏感亚群</w:t>
            </w:r>
          </w:p>
        </w:tc>
        <w:tc>
          <w:tcPr>
            <w:tcW w:w="8721" w:type="dxa"/>
            <w:tcBorders>
              <w:top w:val="nil"/>
              <w:left w:val="nil"/>
              <w:bottom w:val="nil"/>
              <w:right w:val="nil"/>
            </w:tcBorders>
          </w:tcPr>
          <w:p w14:paraId="5E4CE9B7" w14:textId="524138A1" w:rsidR="0026097E" w:rsidRPr="009A0AA3" w:rsidRDefault="00751247">
            <w:pPr>
              <w:spacing w:after="0" w:line="259" w:lineRule="auto"/>
              <w:ind w:left="140" w:right="42" w:hanging="140"/>
              <w:jc w:val="left"/>
              <w:rPr>
                <w:szCs w:val="20"/>
              </w:rPr>
            </w:pPr>
            <w:r w:rsidRPr="009A0AA3">
              <w:rPr>
                <w:rFonts w:ascii="宋体" w:eastAsia="宋体" w:hAnsi="宋体" w:cs="宋体" w:hint="eastAsia"/>
                <w:szCs w:val="20"/>
              </w:rPr>
              <w:t>具有不同程度的肾脏或肝脏损害或两者兼有的个体，具有已知心血管疾病病史（例如，心力衰竭，高血压）或消化性溃疡的个体，尤其是老年人。</w:t>
            </w:r>
            <w:r w:rsidRPr="009A0AA3">
              <w:rPr>
                <w:rFonts w:ascii="Arial" w:eastAsia="Arial" w:hAnsi="Arial" w:cs="Arial"/>
                <w:szCs w:val="20"/>
              </w:rPr>
              <w:t xml:space="preserve"> </w:t>
            </w:r>
            <w:r w:rsidRPr="009A0AA3">
              <w:rPr>
                <w:rFonts w:ascii="宋体" w:eastAsia="宋体" w:hAnsi="宋体" w:cs="宋体" w:hint="eastAsia"/>
                <w:szCs w:val="20"/>
              </w:rPr>
              <w:t>儿童也代表潜在的敏感亚群。</w:t>
            </w:r>
            <w:r w:rsidRPr="009A0AA3">
              <w:rPr>
                <w:rFonts w:ascii="Arial" w:eastAsia="Arial" w:hAnsi="Arial" w:cs="Arial"/>
                <w:szCs w:val="20"/>
              </w:rPr>
              <w:t xml:space="preserve"> </w:t>
            </w:r>
            <w:r w:rsidRPr="009A0AA3">
              <w:rPr>
                <w:rFonts w:ascii="宋体" w:eastAsia="宋体" w:hAnsi="宋体" w:cs="宋体" w:hint="eastAsia"/>
                <w:szCs w:val="20"/>
              </w:rPr>
              <w:t>因此，应按照包装说明书（如果使用非处方药）或临床医生为儿童推荐的剂量服用。</w:t>
            </w:r>
          </w:p>
        </w:tc>
      </w:tr>
    </w:tbl>
    <w:p w14:paraId="1D35D293" w14:textId="77777777" w:rsidR="0026097E" w:rsidRPr="009A0AA3" w:rsidRDefault="00284695">
      <w:pPr>
        <w:spacing w:after="0" w:line="259" w:lineRule="auto"/>
        <w:ind w:firstLine="0"/>
        <w:jc w:val="left"/>
        <w:rPr>
          <w:szCs w:val="20"/>
        </w:rPr>
      </w:pPr>
      <w:r w:rsidRPr="009A0AA3">
        <w:rPr>
          <w:rFonts w:ascii="Calibri" w:eastAsia="Calibri" w:hAnsi="Calibri" w:cs="Calibri"/>
          <w:noProof/>
          <w:color w:val="000000"/>
          <w:szCs w:val="20"/>
        </w:rPr>
        <mc:AlternateContent>
          <mc:Choice Requires="wpg">
            <w:drawing>
              <wp:inline distT="0" distB="0" distL="0" distR="0" wp14:anchorId="321AE462" wp14:editId="4CB84337">
                <wp:extent cx="6614783" cy="6337"/>
                <wp:effectExtent l="0" t="0" r="0" b="0"/>
                <wp:docPr id="69748" name="Group 69748"/>
                <wp:cNvGraphicFramePr/>
                <a:graphic xmlns:a="http://schemas.openxmlformats.org/drawingml/2006/main">
                  <a:graphicData uri="http://schemas.microsoft.com/office/word/2010/wordprocessingGroup">
                    <wpg:wgp>
                      <wpg:cNvGrpSpPr/>
                      <wpg:grpSpPr>
                        <a:xfrm>
                          <a:off x="0" y="0"/>
                          <a:ext cx="6614783" cy="6337"/>
                          <a:chOff x="0" y="0"/>
                          <a:chExt cx="6614783" cy="6337"/>
                        </a:xfrm>
                      </wpg:grpSpPr>
                      <wps:wsp>
                        <wps:cNvPr id="4585" name="Shape 4585"/>
                        <wps:cNvSpPr/>
                        <wps:spPr>
                          <a:xfrm>
                            <a:off x="0" y="0"/>
                            <a:ext cx="6614783" cy="0"/>
                          </a:xfrm>
                          <a:custGeom>
                            <a:avLst/>
                            <a:gdLst/>
                            <a:ahLst/>
                            <a:cxnLst/>
                            <a:rect l="0" t="0" r="0" b="0"/>
                            <a:pathLst>
                              <a:path w="6614783">
                                <a:moveTo>
                                  <a:pt x="0" y="0"/>
                                </a:moveTo>
                                <a:lnTo>
                                  <a:pt x="6614783" y="0"/>
                                </a:lnTo>
                              </a:path>
                            </a:pathLst>
                          </a:custGeom>
                          <a:ln w="6337" cap="flat">
                            <a:miter lim="127000"/>
                          </a:ln>
                        </wps:spPr>
                        <wps:style>
                          <a:lnRef idx="1">
                            <a:srgbClr val="221F1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69748" style="width:520.849pt;height:0.499pt;mso-position-horizontal-relative:char;mso-position-vertical-relative:line" coordsize="66147,63">
                <v:shape id="Shape 4585" style="position:absolute;width:66147;height:0;left:0;top:0;" coordsize="6614783,0" path="m0,0l6614783,0">
                  <v:stroke weight="0.499pt" endcap="flat" joinstyle="miter" miterlimit="10" on="true" color="#221f1f"/>
                  <v:fill on="false" color="#000000" opacity="0"/>
                </v:shape>
              </v:group>
            </w:pict>
          </mc:Fallback>
        </mc:AlternateContent>
      </w:r>
    </w:p>
    <w:tbl>
      <w:tblPr>
        <w:tblStyle w:val="TableGrid"/>
        <w:tblW w:w="10417" w:type="dxa"/>
        <w:tblInd w:w="0" w:type="dxa"/>
        <w:tblCellMar>
          <w:top w:w="11" w:type="dxa"/>
          <w:right w:w="11" w:type="dxa"/>
        </w:tblCellMar>
        <w:tblLook w:val="04A0" w:firstRow="1" w:lastRow="0" w:firstColumn="1" w:lastColumn="0" w:noHBand="0" w:noVBand="1"/>
      </w:tblPr>
      <w:tblGrid>
        <w:gridCol w:w="2247"/>
        <w:gridCol w:w="981"/>
        <w:gridCol w:w="1052"/>
        <w:gridCol w:w="823"/>
        <w:gridCol w:w="5314"/>
      </w:tblGrid>
      <w:tr w:rsidR="0026097E" w:rsidRPr="009A0AA3" w14:paraId="38A66CAD" w14:textId="77777777">
        <w:trPr>
          <w:trHeight w:val="1235"/>
        </w:trPr>
        <w:tc>
          <w:tcPr>
            <w:tcW w:w="2247" w:type="dxa"/>
            <w:tcBorders>
              <w:top w:val="single" w:sz="8" w:space="0" w:color="221F1F"/>
              <w:left w:val="nil"/>
              <w:bottom w:val="nil"/>
              <w:right w:val="nil"/>
            </w:tcBorders>
          </w:tcPr>
          <w:p w14:paraId="34DC1597" w14:textId="589D1566" w:rsidR="0026097E" w:rsidRPr="009A0AA3" w:rsidRDefault="00751247">
            <w:pPr>
              <w:spacing w:after="0" w:line="259" w:lineRule="auto"/>
              <w:ind w:firstLine="0"/>
              <w:jc w:val="left"/>
              <w:rPr>
                <w:szCs w:val="20"/>
              </w:rPr>
            </w:pPr>
            <w:proofErr w:type="spellStart"/>
            <w:r w:rsidRPr="009A0AA3">
              <w:rPr>
                <w:rFonts w:ascii="Arial" w:eastAsia="Arial" w:hAnsi="Arial" w:cs="Arial"/>
                <w:szCs w:val="20"/>
              </w:rPr>
              <w:t>PoD</w:t>
            </w:r>
            <w:proofErr w:type="spellEnd"/>
            <w:r w:rsidRPr="009A0AA3">
              <w:rPr>
                <w:rFonts w:ascii="宋体" w:eastAsia="宋体" w:hAnsi="宋体" w:cs="宋体" w:hint="eastAsia"/>
                <w:szCs w:val="20"/>
              </w:rPr>
              <w:t>基本原理</w:t>
            </w:r>
          </w:p>
        </w:tc>
        <w:tc>
          <w:tcPr>
            <w:tcW w:w="8170" w:type="dxa"/>
            <w:gridSpan w:val="4"/>
            <w:tcBorders>
              <w:top w:val="single" w:sz="8" w:space="0" w:color="221F1F"/>
              <w:left w:val="nil"/>
              <w:bottom w:val="nil"/>
              <w:right w:val="nil"/>
            </w:tcBorders>
          </w:tcPr>
          <w:p w14:paraId="665A5CE4" w14:textId="77777777" w:rsidR="00751247" w:rsidRPr="009A0AA3" w:rsidRDefault="00751247" w:rsidP="00751247">
            <w:pPr>
              <w:spacing w:after="2" w:line="253" w:lineRule="auto"/>
              <w:ind w:left="140" w:hanging="140"/>
              <w:jc w:val="left"/>
              <w:rPr>
                <w:rFonts w:ascii="Arial" w:eastAsia="Arial" w:hAnsi="Arial" w:cs="Arial"/>
                <w:b/>
                <w:szCs w:val="20"/>
              </w:rPr>
            </w:pPr>
            <w:r w:rsidRPr="009A0AA3">
              <w:rPr>
                <w:rFonts w:ascii="宋体" w:eastAsia="宋体" w:hAnsi="宋体" w:cs="宋体" w:hint="eastAsia"/>
                <w:b/>
                <w:szCs w:val="20"/>
              </w:rPr>
              <w:t>口服</w:t>
            </w:r>
            <w:r w:rsidRPr="009A0AA3">
              <w:rPr>
                <w:rFonts w:ascii="Arial" w:eastAsia="Arial" w:hAnsi="Arial" w:cs="Arial"/>
                <w:b/>
                <w:szCs w:val="20"/>
              </w:rPr>
              <w:t>-</w:t>
            </w:r>
            <w:r w:rsidRPr="009A0AA3">
              <w:rPr>
                <w:rFonts w:ascii="宋体" w:eastAsia="宋体" w:hAnsi="宋体" w:cs="宋体" w:hint="eastAsia"/>
                <w:b/>
                <w:szCs w:val="20"/>
              </w:rPr>
              <w:t>布洛芬推荐用于短期非处方药的成人最低口服剂量为</w:t>
            </w:r>
            <w:r w:rsidRPr="009A0AA3">
              <w:rPr>
                <w:rFonts w:ascii="Arial" w:eastAsia="Arial" w:hAnsi="Arial" w:cs="Arial"/>
                <w:b/>
                <w:szCs w:val="20"/>
              </w:rPr>
              <w:t>200</w:t>
            </w:r>
            <w:r w:rsidRPr="009A0AA3">
              <w:rPr>
                <w:rFonts w:ascii="宋体" w:eastAsia="宋体" w:hAnsi="宋体" w:cs="宋体" w:hint="eastAsia"/>
                <w:b/>
                <w:szCs w:val="20"/>
              </w:rPr>
              <w:t>毫克，该剂量可每</w:t>
            </w:r>
            <w:r w:rsidRPr="009A0AA3">
              <w:rPr>
                <w:rFonts w:ascii="Arial" w:eastAsia="Arial" w:hAnsi="Arial" w:cs="Arial"/>
                <w:b/>
                <w:szCs w:val="20"/>
              </w:rPr>
              <w:t>4-6</w:t>
            </w:r>
            <w:r w:rsidRPr="009A0AA3">
              <w:rPr>
                <w:rFonts w:ascii="宋体" w:eastAsia="宋体" w:hAnsi="宋体" w:cs="宋体" w:hint="eastAsia"/>
                <w:b/>
                <w:szCs w:val="20"/>
              </w:rPr>
              <w:t>小时重复一次。</w:t>
            </w:r>
            <w:r w:rsidRPr="009A0AA3">
              <w:rPr>
                <w:rFonts w:ascii="Arial" w:eastAsia="Arial" w:hAnsi="Arial" w:cs="Arial"/>
                <w:b/>
                <w:szCs w:val="20"/>
              </w:rPr>
              <w:t xml:space="preserve"> </w:t>
            </w:r>
            <w:r w:rsidRPr="009A0AA3">
              <w:rPr>
                <w:rFonts w:ascii="宋体" w:eastAsia="宋体" w:hAnsi="宋体" w:cs="宋体" w:hint="eastAsia"/>
                <w:b/>
                <w:szCs w:val="20"/>
              </w:rPr>
              <w:t>由于其药理作用，该剂量被认为是临床</w:t>
            </w:r>
            <w:r w:rsidRPr="009A0AA3">
              <w:rPr>
                <w:rFonts w:ascii="Arial" w:eastAsia="Arial" w:hAnsi="Arial" w:cs="Arial"/>
                <w:b/>
                <w:szCs w:val="20"/>
              </w:rPr>
              <w:t>LOAEL</w:t>
            </w:r>
            <w:r w:rsidRPr="009A0AA3">
              <w:rPr>
                <w:rFonts w:ascii="宋体" w:eastAsia="宋体" w:hAnsi="宋体" w:cs="宋体" w:hint="eastAsia"/>
                <w:b/>
                <w:szCs w:val="20"/>
              </w:rPr>
              <w:t>，因此被选作</w:t>
            </w:r>
            <w:proofErr w:type="spellStart"/>
            <w:r w:rsidRPr="009A0AA3">
              <w:rPr>
                <w:rFonts w:ascii="Arial" w:eastAsia="Arial" w:hAnsi="Arial" w:cs="Arial"/>
                <w:b/>
                <w:szCs w:val="20"/>
              </w:rPr>
              <w:t>PoD</w:t>
            </w:r>
            <w:proofErr w:type="spellEnd"/>
            <w:r w:rsidRPr="009A0AA3">
              <w:rPr>
                <w:rFonts w:ascii="宋体" w:eastAsia="宋体" w:hAnsi="宋体" w:cs="宋体" w:hint="eastAsia"/>
                <w:b/>
                <w:szCs w:val="20"/>
              </w:rPr>
              <w:t>。</w:t>
            </w:r>
          </w:p>
          <w:p w14:paraId="33AA814D" w14:textId="77777777" w:rsidR="00751247" w:rsidRPr="009A0AA3" w:rsidRDefault="00751247" w:rsidP="00751247">
            <w:pPr>
              <w:spacing w:after="2" w:line="253" w:lineRule="auto"/>
              <w:ind w:left="140" w:hanging="140"/>
              <w:jc w:val="left"/>
              <w:rPr>
                <w:rFonts w:ascii="Arial" w:eastAsia="Arial" w:hAnsi="Arial" w:cs="Arial"/>
                <w:b/>
                <w:szCs w:val="20"/>
              </w:rPr>
            </w:pPr>
            <w:r w:rsidRPr="009A0AA3">
              <w:rPr>
                <w:rFonts w:ascii="宋体" w:eastAsia="宋体" w:hAnsi="宋体" w:cs="宋体" w:hint="eastAsia"/>
                <w:b/>
                <w:szCs w:val="20"/>
              </w:rPr>
              <w:t>静脉注射</w:t>
            </w:r>
            <w:proofErr w:type="gramStart"/>
            <w:r w:rsidRPr="009A0AA3">
              <w:rPr>
                <w:rFonts w:ascii="Arial" w:eastAsia="Arial" w:hAnsi="Arial" w:cs="Arial"/>
                <w:b/>
                <w:szCs w:val="20"/>
              </w:rPr>
              <w:t>—</w:t>
            </w:r>
            <w:r w:rsidRPr="009A0AA3">
              <w:rPr>
                <w:rFonts w:ascii="宋体" w:eastAsia="宋体" w:hAnsi="宋体" w:cs="宋体" w:hint="eastAsia"/>
                <w:b/>
                <w:szCs w:val="20"/>
              </w:rPr>
              <w:t>建议</w:t>
            </w:r>
            <w:proofErr w:type="gramEnd"/>
            <w:r w:rsidRPr="009A0AA3">
              <w:rPr>
                <w:rFonts w:ascii="宋体" w:eastAsia="宋体" w:hAnsi="宋体" w:cs="宋体" w:hint="eastAsia"/>
                <w:b/>
                <w:szCs w:val="20"/>
              </w:rPr>
              <w:t>短期治疗发烧的最低静脉注射剂量为</w:t>
            </w:r>
            <w:r w:rsidRPr="009A0AA3">
              <w:rPr>
                <w:rFonts w:ascii="Arial" w:eastAsia="Arial" w:hAnsi="Arial" w:cs="Arial"/>
                <w:b/>
                <w:szCs w:val="20"/>
              </w:rPr>
              <w:t>100</w:t>
            </w:r>
            <w:r w:rsidRPr="009A0AA3">
              <w:rPr>
                <w:rFonts w:ascii="宋体" w:eastAsia="宋体" w:hAnsi="宋体" w:cs="宋体" w:hint="eastAsia"/>
                <w:b/>
                <w:szCs w:val="20"/>
              </w:rPr>
              <w:t>毫克，每</w:t>
            </w:r>
            <w:r w:rsidRPr="009A0AA3">
              <w:rPr>
                <w:rFonts w:ascii="Arial" w:eastAsia="Arial" w:hAnsi="Arial" w:cs="Arial"/>
                <w:b/>
                <w:szCs w:val="20"/>
              </w:rPr>
              <w:t>4</w:t>
            </w:r>
            <w:r w:rsidRPr="009A0AA3">
              <w:rPr>
                <w:rFonts w:ascii="宋体" w:eastAsia="宋体" w:hAnsi="宋体" w:cs="宋体" w:hint="eastAsia"/>
                <w:b/>
                <w:szCs w:val="20"/>
              </w:rPr>
              <w:t>小时可重复一次。</w:t>
            </w:r>
            <w:r w:rsidRPr="009A0AA3">
              <w:rPr>
                <w:rFonts w:ascii="Arial" w:eastAsia="Arial" w:hAnsi="Arial" w:cs="Arial"/>
                <w:b/>
                <w:szCs w:val="20"/>
              </w:rPr>
              <w:t xml:space="preserve"> </w:t>
            </w:r>
            <w:r w:rsidRPr="009A0AA3">
              <w:rPr>
                <w:rFonts w:ascii="宋体" w:eastAsia="宋体" w:hAnsi="宋体" w:cs="宋体" w:hint="eastAsia"/>
                <w:b/>
                <w:szCs w:val="20"/>
              </w:rPr>
              <w:t>由于其药理作用，该剂量被认为是临床</w:t>
            </w:r>
            <w:r w:rsidRPr="009A0AA3">
              <w:rPr>
                <w:rFonts w:ascii="Arial" w:eastAsia="Arial" w:hAnsi="Arial" w:cs="Arial"/>
                <w:b/>
                <w:szCs w:val="20"/>
              </w:rPr>
              <w:t>LOAEL</w:t>
            </w:r>
            <w:r w:rsidRPr="009A0AA3">
              <w:rPr>
                <w:rFonts w:ascii="宋体" w:eastAsia="宋体" w:hAnsi="宋体" w:cs="宋体" w:hint="eastAsia"/>
                <w:b/>
                <w:szCs w:val="20"/>
              </w:rPr>
              <w:t>，因此被选作</w:t>
            </w:r>
            <w:proofErr w:type="spellStart"/>
            <w:r w:rsidRPr="009A0AA3">
              <w:rPr>
                <w:rFonts w:ascii="Arial" w:eastAsia="Arial" w:hAnsi="Arial" w:cs="Arial"/>
                <w:b/>
                <w:szCs w:val="20"/>
              </w:rPr>
              <w:t>PoD</w:t>
            </w:r>
            <w:proofErr w:type="spellEnd"/>
            <w:r w:rsidRPr="009A0AA3">
              <w:rPr>
                <w:rFonts w:ascii="宋体" w:eastAsia="宋体" w:hAnsi="宋体" w:cs="宋体" w:hint="eastAsia"/>
                <w:b/>
                <w:szCs w:val="20"/>
              </w:rPr>
              <w:t>。</w:t>
            </w:r>
          </w:p>
          <w:p w14:paraId="3335F936" w14:textId="2F2F4515" w:rsidR="0026097E" w:rsidRPr="009A0AA3" w:rsidRDefault="00751247" w:rsidP="00751247">
            <w:pPr>
              <w:spacing w:after="0" w:line="259" w:lineRule="auto"/>
              <w:ind w:left="140" w:hanging="140"/>
              <w:jc w:val="left"/>
              <w:rPr>
                <w:szCs w:val="20"/>
              </w:rPr>
            </w:pPr>
            <w:r w:rsidRPr="009A0AA3">
              <w:rPr>
                <w:rFonts w:ascii="宋体" w:eastAsia="宋体" w:hAnsi="宋体" w:cs="宋体" w:hint="eastAsia"/>
                <w:b/>
                <w:szCs w:val="20"/>
              </w:rPr>
              <w:t>皮肤</w:t>
            </w:r>
            <w:r w:rsidRPr="009A0AA3">
              <w:rPr>
                <w:rFonts w:ascii="Arial" w:eastAsia="Arial" w:hAnsi="Arial" w:cs="Arial"/>
                <w:b/>
                <w:szCs w:val="20"/>
              </w:rPr>
              <w:t>—</w:t>
            </w:r>
            <w:r w:rsidRPr="009A0AA3">
              <w:rPr>
                <w:rFonts w:ascii="宋体" w:eastAsia="宋体" w:hAnsi="宋体" w:cs="宋体" w:hint="eastAsia"/>
                <w:b/>
                <w:szCs w:val="20"/>
              </w:rPr>
              <w:t>布洛芬的经皮剂量为</w:t>
            </w:r>
            <w:r w:rsidRPr="009A0AA3">
              <w:rPr>
                <w:rFonts w:ascii="Arial" w:eastAsia="Arial" w:hAnsi="Arial" w:cs="Arial"/>
                <w:b/>
                <w:szCs w:val="20"/>
              </w:rPr>
              <w:t>300</w:t>
            </w:r>
            <w:r w:rsidRPr="009A0AA3">
              <w:rPr>
                <w:rFonts w:ascii="宋体" w:eastAsia="宋体" w:hAnsi="宋体" w:cs="宋体" w:hint="eastAsia"/>
                <w:b/>
                <w:szCs w:val="20"/>
              </w:rPr>
              <w:t>毫克。</w:t>
            </w:r>
            <w:r w:rsidRPr="009A0AA3">
              <w:rPr>
                <w:rFonts w:ascii="Arial" w:eastAsia="Arial" w:hAnsi="Arial" w:cs="Arial"/>
                <w:b/>
                <w:szCs w:val="20"/>
              </w:rPr>
              <w:t xml:space="preserve"> </w:t>
            </w:r>
            <w:r w:rsidRPr="009A0AA3">
              <w:rPr>
                <w:rFonts w:ascii="宋体" w:eastAsia="宋体" w:hAnsi="宋体" w:cs="宋体" w:hint="eastAsia"/>
                <w:b/>
                <w:szCs w:val="20"/>
              </w:rPr>
              <w:t>该剂量被认为是临床</w:t>
            </w:r>
            <w:r w:rsidRPr="009A0AA3">
              <w:rPr>
                <w:rFonts w:ascii="Arial" w:eastAsia="Arial" w:hAnsi="Arial" w:cs="Arial"/>
                <w:b/>
                <w:szCs w:val="20"/>
              </w:rPr>
              <w:t>LOAEL</w:t>
            </w:r>
            <w:r w:rsidRPr="009A0AA3">
              <w:rPr>
                <w:rFonts w:ascii="宋体" w:eastAsia="宋体" w:hAnsi="宋体" w:cs="宋体" w:hint="eastAsia"/>
                <w:b/>
                <w:szCs w:val="20"/>
              </w:rPr>
              <w:t>，并被选作</w:t>
            </w:r>
            <w:proofErr w:type="spellStart"/>
            <w:r w:rsidRPr="009A0AA3">
              <w:rPr>
                <w:rFonts w:ascii="Arial" w:eastAsia="Arial" w:hAnsi="Arial" w:cs="Arial"/>
                <w:b/>
                <w:szCs w:val="20"/>
              </w:rPr>
              <w:t>PoD</w:t>
            </w:r>
            <w:proofErr w:type="spellEnd"/>
            <w:r w:rsidRPr="009A0AA3">
              <w:rPr>
                <w:rFonts w:ascii="宋体" w:eastAsia="宋体" w:hAnsi="宋体" w:cs="宋体" w:hint="eastAsia"/>
                <w:b/>
                <w:szCs w:val="20"/>
              </w:rPr>
              <w:t>。</w:t>
            </w:r>
          </w:p>
        </w:tc>
      </w:tr>
      <w:tr w:rsidR="0026097E" w:rsidRPr="009A0AA3" w14:paraId="7AACDAD7" w14:textId="77777777">
        <w:trPr>
          <w:trHeight w:val="361"/>
        </w:trPr>
        <w:tc>
          <w:tcPr>
            <w:tcW w:w="2247" w:type="dxa"/>
            <w:tcBorders>
              <w:top w:val="nil"/>
              <w:left w:val="nil"/>
              <w:bottom w:val="single" w:sz="4" w:space="0" w:color="221F1F"/>
              <w:right w:val="nil"/>
            </w:tcBorders>
          </w:tcPr>
          <w:p w14:paraId="63A3FD71" w14:textId="40347BC5" w:rsidR="0026097E" w:rsidRPr="009A0AA3" w:rsidRDefault="00751247">
            <w:pPr>
              <w:spacing w:after="0" w:line="259" w:lineRule="auto"/>
              <w:ind w:firstLine="0"/>
              <w:jc w:val="left"/>
              <w:rPr>
                <w:szCs w:val="20"/>
              </w:rPr>
            </w:pPr>
            <w:r w:rsidRPr="009A0AA3">
              <w:rPr>
                <w:rFonts w:ascii="宋体" w:eastAsia="宋体" w:hAnsi="宋体" w:cs="宋体" w:hint="eastAsia"/>
                <w:szCs w:val="20"/>
              </w:rPr>
              <w:t>关键影响</w:t>
            </w:r>
          </w:p>
        </w:tc>
        <w:tc>
          <w:tcPr>
            <w:tcW w:w="8170" w:type="dxa"/>
            <w:gridSpan w:val="4"/>
            <w:tcBorders>
              <w:top w:val="nil"/>
              <w:left w:val="nil"/>
              <w:bottom w:val="single" w:sz="4" w:space="0" w:color="221F1F"/>
              <w:right w:val="nil"/>
            </w:tcBorders>
          </w:tcPr>
          <w:p w14:paraId="253EB4AA" w14:textId="69F13D5A" w:rsidR="0026097E" w:rsidRPr="009A0AA3" w:rsidRDefault="00751247">
            <w:pPr>
              <w:spacing w:after="11" w:line="259" w:lineRule="auto"/>
              <w:ind w:firstLine="0"/>
              <w:jc w:val="left"/>
              <w:rPr>
                <w:szCs w:val="20"/>
              </w:rPr>
            </w:pPr>
            <w:r w:rsidRPr="009A0AA3">
              <w:rPr>
                <w:rFonts w:ascii="宋体" w:eastAsia="宋体" w:hAnsi="宋体" w:cs="宋体" w:hint="eastAsia"/>
                <w:szCs w:val="20"/>
              </w:rPr>
              <w:t>恶心，消化不良，胃肠道溃疡</w:t>
            </w:r>
            <w:r w:rsidRPr="009A0AA3">
              <w:rPr>
                <w:rFonts w:ascii="Arial" w:eastAsia="Arial" w:hAnsi="Arial" w:cs="Arial"/>
                <w:szCs w:val="20"/>
              </w:rPr>
              <w:t>/</w:t>
            </w:r>
            <w:r w:rsidRPr="009A0AA3">
              <w:rPr>
                <w:rFonts w:ascii="宋体" w:eastAsia="宋体" w:hAnsi="宋体" w:cs="宋体" w:hint="eastAsia"/>
                <w:szCs w:val="20"/>
              </w:rPr>
              <w:t>出血，鼻出血，头晕，皮疹，盐和液体潴留以及高血压</w:t>
            </w:r>
            <w:r w:rsidR="00284695" w:rsidRPr="009A0AA3">
              <w:rPr>
                <w:rFonts w:ascii="Arial" w:eastAsia="Arial" w:hAnsi="Arial" w:cs="Arial"/>
                <w:szCs w:val="20"/>
              </w:rPr>
              <w:t>.</w:t>
            </w:r>
          </w:p>
          <w:p w14:paraId="71A5A4B6" w14:textId="3CA686B0" w:rsidR="0026097E" w:rsidRPr="009A0AA3" w:rsidRDefault="00751247">
            <w:pPr>
              <w:tabs>
                <w:tab w:val="center" w:pos="1113"/>
                <w:tab w:val="center" w:pos="2258"/>
                <w:tab w:val="center" w:pos="3949"/>
              </w:tabs>
              <w:spacing w:after="0" w:line="259" w:lineRule="auto"/>
              <w:ind w:firstLine="0"/>
              <w:jc w:val="left"/>
              <w:rPr>
                <w:szCs w:val="20"/>
              </w:rPr>
            </w:pPr>
            <w:r w:rsidRPr="009A0AA3">
              <w:rPr>
                <w:rFonts w:ascii="宋体" w:eastAsia="宋体" w:hAnsi="宋体" w:cs="宋体" w:hint="eastAsia"/>
                <w:szCs w:val="20"/>
              </w:rPr>
              <w:t>静脉</w:t>
            </w:r>
            <w:r w:rsidR="00284695" w:rsidRPr="009A0AA3">
              <w:rPr>
                <w:rFonts w:ascii="Arial" w:eastAsia="Arial" w:hAnsi="Arial" w:cs="Arial"/>
                <w:szCs w:val="20"/>
              </w:rPr>
              <w:tab/>
            </w:r>
            <w:r w:rsidRPr="009A0AA3">
              <w:rPr>
                <w:rFonts w:ascii="宋体" w:eastAsia="宋体" w:hAnsi="宋体" w:cs="宋体" w:hint="eastAsia"/>
                <w:szCs w:val="20"/>
              </w:rPr>
              <w:t>口服</w:t>
            </w:r>
            <w:r w:rsidR="00284695" w:rsidRPr="009A0AA3">
              <w:rPr>
                <w:rFonts w:ascii="Arial" w:eastAsia="Arial" w:hAnsi="Arial" w:cs="Arial"/>
                <w:szCs w:val="20"/>
              </w:rPr>
              <w:tab/>
            </w:r>
            <w:r w:rsidRPr="009A0AA3">
              <w:rPr>
                <w:rFonts w:ascii="宋体" w:eastAsia="宋体" w:hAnsi="宋体" w:cs="宋体" w:hint="eastAsia"/>
                <w:szCs w:val="20"/>
              </w:rPr>
              <w:t>皮肤</w:t>
            </w:r>
            <w:r w:rsidR="00284695" w:rsidRPr="009A0AA3">
              <w:rPr>
                <w:rFonts w:ascii="Arial" w:eastAsia="Arial" w:hAnsi="Arial" w:cs="Arial"/>
                <w:szCs w:val="20"/>
              </w:rPr>
              <w:tab/>
            </w:r>
            <w:r w:rsidR="00C60A63">
              <w:rPr>
                <w:rFonts w:ascii="Arial" w:eastAsia="Arial" w:hAnsi="Arial" w:cs="Arial"/>
                <w:szCs w:val="20"/>
              </w:rPr>
              <w:t xml:space="preserve">       </w:t>
            </w:r>
            <w:r w:rsidR="00C60A63">
              <w:rPr>
                <w:rFonts w:ascii="宋体" w:eastAsia="宋体" w:hAnsi="宋体" w:cs="宋体" w:hint="eastAsia"/>
                <w:szCs w:val="20"/>
              </w:rPr>
              <w:t>选择值的理由</w:t>
            </w:r>
          </w:p>
        </w:tc>
      </w:tr>
      <w:tr w:rsidR="0026097E" w:rsidRPr="009A0AA3" w14:paraId="51AF9884" w14:textId="77777777" w:rsidTr="009A0AA3">
        <w:trPr>
          <w:trHeight w:val="213"/>
        </w:trPr>
        <w:tc>
          <w:tcPr>
            <w:tcW w:w="2247" w:type="dxa"/>
            <w:tcBorders>
              <w:top w:val="single" w:sz="4" w:space="0" w:color="221F1F"/>
              <w:left w:val="nil"/>
              <w:bottom w:val="nil"/>
              <w:right w:val="nil"/>
            </w:tcBorders>
          </w:tcPr>
          <w:p w14:paraId="54546CB4" w14:textId="77777777" w:rsidR="0026097E" w:rsidRPr="009A0AA3" w:rsidRDefault="00284695">
            <w:pPr>
              <w:spacing w:after="0" w:line="259" w:lineRule="auto"/>
              <w:ind w:firstLine="0"/>
              <w:jc w:val="left"/>
              <w:rPr>
                <w:szCs w:val="20"/>
              </w:rPr>
            </w:pPr>
            <w:proofErr w:type="spellStart"/>
            <w:r w:rsidRPr="009A0AA3">
              <w:rPr>
                <w:rFonts w:ascii="Arial" w:eastAsia="Arial" w:hAnsi="Arial" w:cs="Arial"/>
                <w:szCs w:val="20"/>
              </w:rPr>
              <w:t>PoD</w:t>
            </w:r>
            <w:proofErr w:type="spellEnd"/>
          </w:p>
        </w:tc>
        <w:tc>
          <w:tcPr>
            <w:tcW w:w="981" w:type="dxa"/>
            <w:tcBorders>
              <w:top w:val="single" w:sz="4" w:space="0" w:color="221F1F"/>
              <w:left w:val="nil"/>
              <w:bottom w:val="nil"/>
              <w:right w:val="nil"/>
            </w:tcBorders>
          </w:tcPr>
          <w:p w14:paraId="45DB264F" w14:textId="77777777" w:rsidR="0026097E" w:rsidRPr="009A0AA3" w:rsidRDefault="00284695">
            <w:pPr>
              <w:spacing w:after="0" w:line="259" w:lineRule="auto"/>
              <w:ind w:firstLine="0"/>
              <w:jc w:val="left"/>
              <w:rPr>
                <w:szCs w:val="20"/>
              </w:rPr>
            </w:pPr>
            <w:r w:rsidRPr="009A0AA3">
              <w:rPr>
                <w:rFonts w:ascii="Arial" w:eastAsia="Arial" w:hAnsi="Arial" w:cs="Arial"/>
                <w:szCs w:val="20"/>
              </w:rPr>
              <w:t>100 mg</w:t>
            </w:r>
          </w:p>
        </w:tc>
        <w:tc>
          <w:tcPr>
            <w:tcW w:w="1052" w:type="dxa"/>
            <w:tcBorders>
              <w:top w:val="single" w:sz="4" w:space="0" w:color="221F1F"/>
              <w:left w:val="nil"/>
              <w:bottom w:val="nil"/>
              <w:right w:val="nil"/>
            </w:tcBorders>
          </w:tcPr>
          <w:p w14:paraId="03597447" w14:textId="77777777" w:rsidR="0026097E" w:rsidRPr="009A0AA3" w:rsidRDefault="00284695">
            <w:pPr>
              <w:spacing w:after="0" w:line="259" w:lineRule="auto"/>
              <w:ind w:firstLine="0"/>
              <w:jc w:val="left"/>
              <w:rPr>
                <w:szCs w:val="20"/>
              </w:rPr>
            </w:pPr>
            <w:r w:rsidRPr="009A0AA3">
              <w:rPr>
                <w:rFonts w:ascii="Arial" w:eastAsia="Arial" w:hAnsi="Arial" w:cs="Arial"/>
                <w:szCs w:val="20"/>
              </w:rPr>
              <w:t>200 mg</w:t>
            </w:r>
          </w:p>
        </w:tc>
        <w:tc>
          <w:tcPr>
            <w:tcW w:w="823" w:type="dxa"/>
            <w:tcBorders>
              <w:top w:val="single" w:sz="4" w:space="0" w:color="221F1F"/>
              <w:left w:val="nil"/>
              <w:bottom w:val="nil"/>
              <w:right w:val="nil"/>
            </w:tcBorders>
          </w:tcPr>
          <w:p w14:paraId="19CE7786" w14:textId="77777777" w:rsidR="0026097E" w:rsidRPr="009A0AA3" w:rsidRDefault="00284695">
            <w:pPr>
              <w:spacing w:after="0" w:line="259" w:lineRule="auto"/>
              <w:ind w:firstLine="0"/>
              <w:jc w:val="left"/>
              <w:rPr>
                <w:szCs w:val="20"/>
              </w:rPr>
            </w:pPr>
            <w:r w:rsidRPr="009A0AA3">
              <w:rPr>
                <w:rFonts w:ascii="Arial" w:eastAsia="Arial" w:hAnsi="Arial" w:cs="Arial"/>
                <w:szCs w:val="20"/>
              </w:rPr>
              <w:t>300 mg</w:t>
            </w:r>
          </w:p>
        </w:tc>
        <w:tc>
          <w:tcPr>
            <w:tcW w:w="5314" w:type="dxa"/>
            <w:tcBorders>
              <w:top w:val="single" w:sz="4" w:space="0" w:color="221F1F"/>
              <w:left w:val="nil"/>
              <w:bottom w:val="nil"/>
              <w:right w:val="nil"/>
            </w:tcBorders>
          </w:tcPr>
          <w:p w14:paraId="20CC1E35" w14:textId="77777777" w:rsidR="0026097E" w:rsidRPr="009A0AA3" w:rsidRDefault="0026097E">
            <w:pPr>
              <w:spacing w:after="160" w:line="259" w:lineRule="auto"/>
              <w:ind w:firstLine="0"/>
              <w:jc w:val="left"/>
              <w:rPr>
                <w:szCs w:val="20"/>
              </w:rPr>
            </w:pPr>
          </w:p>
        </w:tc>
      </w:tr>
      <w:tr w:rsidR="0026097E" w:rsidRPr="009A0AA3" w14:paraId="54C0A114" w14:textId="77777777" w:rsidTr="009A0AA3">
        <w:trPr>
          <w:trHeight w:val="162"/>
        </w:trPr>
        <w:tc>
          <w:tcPr>
            <w:tcW w:w="2247" w:type="dxa"/>
            <w:tcBorders>
              <w:top w:val="nil"/>
              <w:left w:val="nil"/>
              <w:bottom w:val="nil"/>
              <w:right w:val="nil"/>
            </w:tcBorders>
          </w:tcPr>
          <w:p w14:paraId="587AE1CF" w14:textId="430670A7" w:rsidR="0026097E" w:rsidRPr="009A0AA3" w:rsidRDefault="00751247">
            <w:pPr>
              <w:spacing w:after="0" w:line="259" w:lineRule="auto"/>
              <w:ind w:firstLine="0"/>
              <w:jc w:val="left"/>
              <w:rPr>
                <w:szCs w:val="20"/>
              </w:rPr>
            </w:pPr>
            <w:r w:rsidRPr="009A0AA3">
              <w:rPr>
                <w:rFonts w:ascii="宋体" w:eastAsia="宋体" w:hAnsi="宋体" w:cs="宋体" w:hint="eastAsia"/>
                <w:szCs w:val="20"/>
              </w:rPr>
              <w:t>种间变异</w:t>
            </w:r>
            <w:r w:rsidR="00284695" w:rsidRPr="009A0AA3">
              <w:rPr>
                <w:rFonts w:ascii="Arial" w:eastAsia="Arial" w:hAnsi="Arial" w:cs="Arial"/>
                <w:szCs w:val="20"/>
              </w:rPr>
              <w:t xml:space="preserve"> (F1)</w:t>
            </w:r>
          </w:p>
        </w:tc>
        <w:tc>
          <w:tcPr>
            <w:tcW w:w="981" w:type="dxa"/>
            <w:tcBorders>
              <w:top w:val="nil"/>
              <w:left w:val="nil"/>
              <w:bottom w:val="nil"/>
              <w:right w:val="nil"/>
            </w:tcBorders>
          </w:tcPr>
          <w:p w14:paraId="7D35A494"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1052" w:type="dxa"/>
            <w:tcBorders>
              <w:top w:val="nil"/>
              <w:left w:val="nil"/>
              <w:bottom w:val="nil"/>
              <w:right w:val="nil"/>
            </w:tcBorders>
          </w:tcPr>
          <w:p w14:paraId="0DF7AE91"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823" w:type="dxa"/>
            <w:tcBorders>
              <w:top w:val="nil"/>
              <w:left w:val="nil"/>
              <w:bottom w:val="nil"/>
              <w:right w:val="nil"/>
            </w:tcBorders>
          </w:tcPr>
          <w:p w14:paraId="71F09A42"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5314" w:type="dxa"/>
            <w:tcBorders>
              <w:top w:val="nil"/>
              <w:left w:val="nil"/>
              <w:bottom w:val="nil"/>
              <w:right w:val="nil"/>
            </w:tcBorders>
          </w:tcPr>
          <w:p w14:paraId="365ACEE9" w14:textId="026BB250" w:rsidR="0026097E" w:rsidRPr="009A0AA3" w:rsidRDefault="00751247">
            <w:pPr>
              <w:spacing w:after="0" w:line="259" w:lineRule="auto"/>
              <w:ind w:firstLine="0"/>
              <w:jc w:val="left"/>
              <w:rPr>
                <w:szCs w:val="20"/>
              </w:rPr>
            </w:pPr>
            <w:proofErr w:type="spellStart"/>
            <w:r w:rsidRPr="009A0AA3">
              <w:rPr>
                <w:rFonts w:ascii="Arial" w:eastAsia="Arial" w:hAnsi="Arial" w:cs="Arial"/>
                <w:szCs w:val="20"/>
              </w:rPr>
              <w:t>PoD</w:t>
            </w:r>
            <w:proofErr w:type="spellEnd"/>
            <w:r w:rsidRPr="009A0AA3">
              <w:rPr>
                <w:rFonts w:ascii="宋体" w:eastAsia="宋体" w:hAnsi="宋体" w:cs="宋体" w:hint="eastAsia"/>
                <w:szCs w:val="20"/>
              </w:rPr>
              <w:t>是人体剂量。</w:t>
            </w:r>
          </w:p>
        </w:tc>
      </w:tr>
      <w:tr w:rsidR="0026097E" w:rsidRPr="009A0AA3" w14:paraId="55013C26" w14:textId="77777777" w:rsidTr="009A0AA3">
        <w:trPr>
          <w:trHeight w:val="859"/>
        </w:trPr>
        <w:tc>
          <w:tcPr>
            <w:tcW w:w="2247" w:type="dxa"/>
            <w:tcBorders>
              <w:top w:val="nil"/>
              <w:left w:val="nil"/>
              <w:bottom w:val="nil"/>
              <w:right w:val="nil"/>
            </w:tcBorders>
          </w:tcPr>
          <w:p w14:paraId="7CF04D56" w14:textId="06B2CA7B" w:rsidR="0026097E" w:rsidRPr="009A0AA3" w:rsidRDefault="00751247">
            <w:pPr>
              <w:spacing w:after="0" w:line="259" w:lineRule="auto"/>
              <w:ind w:firstLine="0"/>
              <w:jc w:val="left"/>
              <w:rPr>
                <w:szCs w:val="20"/>
              </w:rPr>
            </w:pPr>
            <w:r w:rsidRPr="009A0AA3">
              <w:rPr>
                <w:rFonts w:ascii="宋体" w:eastAsia="宋体" w:hAnsi="宋体" w:cs="宋体" w:hint="eastAsia"/>
                <w:szCs w:val="20"/>
              </w:rPr>
              <w:t>种内变异</w:t>
            </w:r>
            <w:r w:rsidR="00284695" w:rsidRPr="009A0AA3">
              <w:rPr>
                <w:rFonts w:ascii="Arial" w:eastAsia="Arial" w:hAnsi="Arial" w:cs="Arial"/>
                <w:szCs w:val="20"/>
              </w:rPr>
              <w:t>(F2)</w:t>
            </w:r>
          </w:p>
        </w:tc>
        <w:tc>
          <w:tcPr>
            <w:tcW w:w="981" w:type="dxa"/>
            <w:tcBorders>
              <w:top w:val="nil"/>
              <w:left w:val="nil"/>
              <w:bottom w:val="nil"/>
              <w:right w:val="nil"/>
            </w:tcBorders>
          </w:tcPr>
          <w:p w14:paraId="29D3CA9D" w14:textId="77777777" w:rsidR="0026097E" w:rsidRPr="009A0AA3" w:rsidRDefault="00284695">
            <w:pPr>
              <w:spacing w:after="0" w:line="259" w:lineRule="auto"/>
              <w:ind w:firstLine="0"/>
              <w:jc w:val="left"/>
              <w:rPr>
                <w:szCs w:val="20"/>
              </w:rPr>
            </w:pPr>
            <w:r w:rsidRPr="009A0AA3">
              <w:rPr>
                <w:rFonts w:ascii="Arial" w:eastAsia="Arial" w:hAnsi="Arial" w:cs="Arial"/>
                <w:szCs w:val="20"/>
              </w:rPr>
              <w:t>10</w:t>
            </w:r>
            <w:r w:rsidRPr="009A0AA3">
              <w:rPr>
                <w:rFonts w:ascii="Arial" w:eastAsia="Arial" w:hAnsi="Arial" w:cs="Arial"/>
                <w:i/>
                <w:szCs w:val="20"/>
                <w:vertAlign w:val="superscript"/>
              </w:rPr>
              <w:t>B</w:t>
            </w:r>
          </w:p>
        </w:tc>
        <w:tc>
          <w:tcPr>
            <w:tcW w:w="1052" w:type="dxa"/>
            <w:tcBorders>
              <w:top w:val="nil"/>
              <w:left w:val="nil"/>
              <w:bottom w:val="nil"/>
              <w:right w:val="nil"/>
            </w:tcBorders>
          </w:tcPr>
          <w:p w14:paraId="3D10B1F1" w14:textId="77777777" w:rsidR="0026097E" w:rsidRPr="009A0AA3" w:rsidRDefault="00284695">
            <w:pPr>
              <w:spacing w:after="0" w:line="259" w:lineRule="auto"/>
              <w:ind w:firstLine="0"/>
              <w:jc w:val="left"/>
              <w:rPr>
                <w:szCs w:val="20"/>
              </w:rPr>
            </w:pPr>
            <w:r w:rsidRPr="009A0AA3">
              <w:rPr>
                <w:rFonts w:ascii="Arial" w:eastAsia="Arial" w:hAnsi="Arial" w:cs="Arial"/>
                <w:szCs w:val="20"/>
              </w:rPr>
              <w:t>10</w:t>
            </w:r>
            <w:r w:rsidRPr="009A0AA3">
              <w:rPr>
                <w:rFonts w:ascii="Arial" w:eastAsia="Arial" w:hAnsi="Arial" w:cs="Arial"/>
                <w:i/>
                <w:szCs w:val="20"/>
                <w:vertAlign w:val="superscript"/>
              </w:rPr>
              <w:t>B</w:t>
            </w:r>
          </w:p>
        </w:tc>
        <w:tc>
          <w:tcPr>
            <w:tcW w:w="823" w:type="dxa"/>
            <w:tcBorders>
              <w:top w:val="nil"/>
              <w:left w:val="nil"/>
              <w:bottom w:val="nil"/>
              <w:right w:val="nil"/>
            </w:tcBorders>
          </w:tcPr>
          <w:p w14:paraId="44873A46" w14:textId="77777777" w:rsidR="0026097E" w:rsidRPr="009A0AA3" w:rsidRDefault="00284695">
            <w:pPr>
              <w:spacing w:after="0" w:line="259" w:lineRule="auto"/>
              <w:ind w:firstLine="0"/>
              <w:jc w:val="left"/>
              <w:rPr>
                <w:szCs w:val="20"/>
              </w:rPr>
            </w:pPr>
            <w:r w:rsidRPr="009A0AA3">
              <w:rPr>
                <w:rFonts w:ascii="Arial" w:eastAsia="Arial" w:hAnsi="Arial" w:cs="Arial"/>
                <w:szCs w:val="20"/>
              </w:rPr>
              <w:t>10</w:t>
            </w:r>
            <w:r w:rsidRPr="009A0AA3">
              <w:rPr>
                <w:rFonts w:ascii="Arial" w:eastAsia="Arial" w:hAnsi="Arial" w:cs="Arial"/>
                <w:i/>
                <w:szCs w:val="20"/>
                <w:vertAlign w:val="superscript"/>
              </w:rPr>
              <w:t>B</w:t>
            </w:r>
          </w:p>
        </w:tc>
        <w:tc>
          <w:tcPr>
            <w:tcW w:w="5314" w:type="dxa"/>
            <w:tcBorders>
              <w:top w:val="nil"/>
              <w:left w:val="nil"/>
              <w:bottom w:val="nil"/>
              <w:right w:val="nil"/>
            </w:tcBorders>
          </w:tcPr>
          <w:p w14:paraId="12D37376" w14:textId="7F1CCB7D" w:rsidR="0026097E" w:rsidRPr="009A0AA3" w:rsidRDefault="00751247">
            <w:pPr>
              <w:spacing w:after="0" w:line="259" w:lineRule="auto"/>
              <w:ind w:left="140" w:hanging="140"/>
              <w:jc w:val="left"/>
              <w:rPr>
                <w:szCs w:val="20"/>
              </w:rPr>
            </w:pPr>
            <w:r w:rsidRPr="009A0AA3">
              <w:rPr>
                <w:rFonts w:ascii="宋体" w:eastAsia="宋体" w:hAnsi="宋体" w:cs="宋体" w:hint="eastAsia"/>
                <w:szCs w:val="20"/>
              </w:rPr>
              <w:t>由于未识别出足够的化合物特异性药代动力学数据，因此应用了默认调整因子</w:t>
            </w:r>
            <w:r w:rsidRPr="009A0AA3">
              <w:rPr>
                <w:rFonts w:ascii="Arial" w:eastAsia="Arial" w:hAnsi="Arial" w:cs="Arial"/>
                <w:szCs w:val="20"/>
              </w:rPr>
              <w:t>10</w:t>
            </w:r>
            <w:r w:rsidRPr="009A0AA3">
              <w:rPr>
                <w:rFonts w:ascii="宋体" w:eastAsia="宋体" w:hAnsi="宋体" w:cs="宋体" w:hint="eastAsia"/>
                <w:szCs w:val="20"/>
              </w:rPr>
              <w:t>。</w:t>
            </w:r>
            <w:r w:rsidRPr="009A0AA3">
              <w:rPr>
                <w:rFonts w:ascii="Arial" w:eastAsia="Arial" w:hAnsi="Arial" w:cs="Arial"/>
                <w:szCs w:val="20"/>
              </w:rPr>
              <w:t xml:space="preserve"> </w:t>
            </w:r>
            <w:r w:rsidRPr="009A0AA3">
              <w:rPr>
                <w:rFonts w:ascii="宋体" w:eastAsia="宋体" w:hAnsi="宋体" w:cs="宋体" w:hint="eastAsia"/>
                <w:szCs w:val="20"/>
              </w:rPr>
              <w:t>默认值应充分覆盖任何潜在的敏感亚群</w:t>
            </w:r>
            <w:r w:rsidRPr="009A0AA3">
              <w:rPr>
                <w:rFonts w:ascii="Arial" w:eastAsia="Arial" w:hAnsi="Arial" w:cs="Arial"/>
                <w:szCs w:val="20"/>
              </w:rPr>
              <w:t>[</w:t>
            </w:r>
            <w:r w:rsidRPr="009A0AA3">
              <w:rPr>
                <w:rFonts w:ascii="宋体" w:eastAsia="宋体" w:hAnsi="宋体" w:cs="宋体" w:hint="eastAsia"/>
                <w:szCs w:val="20"/>
              </w:rPr>
              <w:t>包括儿童，孕妇（尤其是妊娠中期）和可能对胃肠道效应特别敏感的个体（不依赖剂量）</w:t>
            </w:r>
            <w:r w:rsidRPr="009A0AA3">
              <w:rPr>
                <w:rFonts w:ascii="Arial" w:eastAsia="Arial" w:hAnsi="Arial" w:cs="Arial"/>
                <w:szCs w:val="20"/>
              </w:rPr>
              <w:t>]</w:t>
            </w:r>
            <w:r w:rsidRPr="009A0AA3">
              <w:rPr>
                <w:rFonts w:ascii="宋体" w:eastAsia="宋体" w:hAnsi="宋体" w:cs="宋体" w:hint="eastAsia"/>
                <w:szCs w:val="20"/>
              </w:rPr>
              <w:t>。</w:t>
            </w:r>
            <w:r w:rsidR="00284695" w:rsidRPr="009A0AA3">
              <w:rPr>
                <w:rFonts w:ascii="Arial" w:eastAsia="Arial" w:hAnsi="Arial" w:cs="Arial"/>
                <w:i/>
                <w:szCs w:val="20"/>
                <w:vertAlign w:val="superscript"/>
              </w:rPr>
              <w:t>B</w:t>
            </w:r>
          </w:p>
        </w:tc>
      </w:tr>
      <w:tr w:rsidR="0026097E" w:rsidRPr="009A0AA3" w14:paraId="3297F89C" w14:textId="77777777" w:rsidTr="009A0AA3">
        <w:trPr>
          <w:trHeight w:val="341"/>
        </w:trPr>
        <w:tc>
          <w:tcPr>
            <w:tcW w:w="2247" w:type="dxa"/>
            <w:tcBorders>
              <w:top w:val="nil"/>
              <w:left w:val="nil"/>
              <w:bottom w:val="nil"/>
              <w:right w:val="nil"/>
            </w:tcBorders>
          </w:tcPr>
          <w:p w14:paraId="2B6D662E" w14:textId="38124116" w:rsidR="0026097E" w:rsidRPr="009A0AA3" w:rsidRDefault="00751247">
            <w:pPr>
              <w:spacing w:after="0" w:line="259" w:lineRule="auto"/>
              <w:ind w:firstLine="0"/>
              <w:jc w:val="left"/>
              <w:rPr>
                <w:szCs w:val="20"/>
              </w:rPr>
            </w:pPr>
            <w:r w:rsidRPr="009A0AA3">
              <w:rPr>
                <w:rFonts w:ascii="宋体" w:eastAsia="宋体" w:hAnsi="宋体" w:cs="宋体" w:hint="eastAsia"/>
                <w:szCs w:val="20"/>
              </w:rPr>
              <w:t>曝光时间</w:t>
            </w:r>
            <w:r w:rsidR="00284695" w:rsidRPr="009A0AA3">
              <w:rPr>
                <w:rFonts w:ascii="Arial" w:eastAsia="Arial" w:hAnsi="Arial" w:cs="Arial"/>
                <w:szCs w:val="20"/>
              </w:rPr>
              <w:t xml:space="preserve"> (F3)</w:t>
            </w:r>
          </w:p>
        </w:tc>
        <w:tc>
          <w:tcPr>
            <w:tcW w:w="981" w:type="dxa"/>
            <w:tcBorders>
              <w:top w:val="nil"/>
              <w:left w:val="nil"/>
              <w:bottom w:val="nil"/>
              <w:right w:val="nil"/>
            </w:tcBorders>
          </w:tcPr>
          <w:p w14:paraId="1EF5CD87"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1052" w:type="dxa"/>
            <w:tcBorders>
              <w:top w:val="nil"/>
              <w:left w:val="nil"/>
              <w:bottom w:val="nil"/>
              <w:right w:val="nil"/>
            </w:tcBorders>
          </w:tcPr>
          <w:p w14:paraId="56DA6D36"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823" w:type="dxa"/>
            <w:tcBorders>
              <w:top w:val="nil"/>
              <w:left w:val="nil"/>
              <w:bottom w:val="nil"/>
              <w:right w:val="nil"/>
            </w:tcBorders>
          </w:tcPr>
          <w:p w14:paraId="149CA12A"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5314" w:type="dxa"/>
            <w:tcBorders>
              <w:top w:val="nil"/>
              <w:left w:val="nil"/>
              <w:bottom w:val="nil"/>
              <w:right w:val="nil"/>
            </w:tcBorders>
          </w:tcPr>
          <w:p w14:paraId="57DF74FD" w14:textId="552F7944" w:rsidR="0026097E" w:rsidRPr="009A0AA3" w:rsidRDefault="00751247">
            <w:pPr>
              <w:spacing w:after="0" w:line="259" w:lineRule="auto"/>
              <w:ind w:left="140" w:hanging="140"/>
              <w:jc w:val="left"/>
              <w:rPr>
                <w:szCs w:val="20"/>
              </w:rPr>
            </w:pPr>
            <w:r w:rsidRPr="009A0AA3">
              <w:rPr>
                <w:rFonts w:ascii="宋体" w:eastAsia="宋体" w:hAnsi="宋体" w:cs="宋体" w:hint="eastAsia"/>
                <w:szCs w:val="20"/>
              </w:rPr>
              <w:t>之所以选择因子</w:t>
            </w:r>
            <w:r w:rsidRPr="009A0AA3">
              <w:rPr>
                <w:rFonts w:ascii="Arial" w:eastAsia="Arial" w:hAnsi="Arial" w:cs="Arial"/>
                <w:szCs w:val="20"/>
              </w:rPr>
              <w:t>1</w:t>
            </w:r>
            <w:r w:rsidRPr="009A0AA3">
              <w:rPr>
                <w:rFonts w:ascii="宋体" w:eastAsia="宋体" w:hAnsi="宋体" w:cs="宋体" w:hint="eastAsia"/>
                <w:szCs w:val="20"/>
              </w:rPr>
              <w:t>是因为尽管</w:t>
            </w:r>
            <w:proofErr w:type="spellStart"/>
            <w:r w:rsidRPr="009A0AA3">
              <w:rPr>
                <w:rFonts w:ascii="Arial" w:eastAsia="Arial" w:hAnsi="Arial" w:cs="Arial"/>
                <w:szCs w:val="20"/>
              </w:rPr>
              <w:t>PoD</w:t>
            </w:r>
            <w:proofErr w:type="spellEnd"/>
            <w:r w:rsidRPr="009A0AA3">
              <w:rPr>
                <w:rFonts w:ascii="宋体" w:eastAsia="宋体" w:hAnsi="宋体" w:cs="宋体" w:hint="eastAsia"/>
                <w:szCs w:val="20"/>
              </w:rPr>
              <w:t>反映了短期使用，但对于慢性病，间歇性</w:t>
            </w:r>
            <w:r w:rsidRPr="009A0AA3">
              <w:rPr>
                <w:rFonts w:ascii="Arial" w:eastAsia="Arial" w:hAnsi="Arial" w:cs="Arial"/>
                <w:szCs w:val="20"/>
              </w:rPr>
              <w:t>OTC</w:t>
            </w:r>
            <w:r w:rsidRPr="009A0AA3">
              <w:rPr>
                <w:rFonts w:ascii="宋体" w:eastAsia="宋体" w:hAnsi="宋体" w:cs="宋体" w:hint="eastAsia"/>
                <w:szCs w:val="20"/>
              </w:rPr>
              <w:t>的使用可能会持续数十年。</w:t>
            </w:r>
          </w:p>
        </w:tc>
      </w:tr>
      <w:tr w:rsidR="0026097E" w:rsidRPr="009A0AA3" w14:paraId="1CF18CC0" w14:textId="77777777" w:rsidTr="009A0AA3">
        <w:trPr>
          <w:trHeight w:val="341"/>
        </w:trPr>
        <w:tc>
          <w:tcPr>
            <w:tcW w:w="2247" w:type="dxa"/>
            <w:tcBorders>
              <w:top w:val="nil"/>
              <w:left w:val="nil"/>
              <w:bottom w:val="nil"/>
              <w:right w:val="nil"/>
            </w:tcBorders>
          </w:tcPr>
          <w:p w14:paraId="0B294554" w14:textId="2007156A" w:rsidR="0026097E" w:rsidRPr="009A0AA3" w:rsidRDefault="00751247">
            <w:pPr>
              <w:spacing w:after="0" w:line="259" w:lineRule="auto"/>
              <w:ind w:firstLine="0"/>
              <w:jc w:val="left"/>
              <w:rPr>
                <w:szCs w:val="20"/>
              </w:rPr>
            </w:pPr>
            <w:r w:rsidRPr="009A0AA3">
              <w:rPr>
                <w:rFonts w:ascii="宋体" w:eastAsia="宋体" w:hAnsi="宋体" w:cs="宋体" w:hint="eastAsia"/>
                <w:szCs w:val="20"/>
              </w:rPr>
              <w:t>严重程度</w:t>
            </w:r>
            <w:r w:rsidR="00284695" w:rsidRPr="009A0AA3">
              <w:rPr>
                <w:rFonts w:ascii="Arial" w:eastAsia="Arial" w:hAnsi="Arial" w:cs="Arial"/>
                <w:szCs w:val="20"/>
              </w:rPr>
              <w:t>(F4)</w:t>
            </w:r>
          </w:p>
        </w:tc>
        <w:tc>
          <w:tcPr>
            <w:tcW w:w="981" w:type="dxa"/>
            <w:tcBorders>
              <w:top w:val="nil"/>
              <w:left w:val="nil"/>
              <w:bottom w:val="nil"/>
              <w:right w:val="nil"/>
            </w:tcBorders>
          </w:tcPr>
          <w:p w14:paraId="49555406"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1052" w:type="dxa"/>
            <w:tcBorders>
              <w:top w:val="nil"/>
              <w:left w:val="nil"/>
              <w:bottom w:val="nil"/>
              <w:right w:val="nil"/>
            </w:tcBorders>
          </w:tcPr>
          <w:p w14:paraId="69853FF8"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823" w:type="dxa"/>
            <w:tcBorders>
              <w:top w:val="nil"/>
              <w:left w:val="nil"/>
              <w:bottom w:val="nil"/>
              <w:right w:val="nil"/>
            </w:tcBorders>
          </w:tcPr>
          <w:p w14:paraId="37F40C79"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5314" w:type="dxa"/>
            <w:tcBorders>
              <w:top w:val="nil"/>
              <w:left w:val="nil"/>
              <w:bottom w:val="nil"/>
              <w:right w:val="nil"/>
            </w:tcBorders>
          </w:tcPr>
          <w:p w14:paraId="288F4FB5" w14:textId="5CC25115" w:rsidR="0026097E" w:rsidRPr="009A0AA3" w:rsidRDefault="00751247">
            <w:pPr>
              <w:spacing w:after="0" w:line="259" w:lineRule="auto"/>
              <w:ind w:left="140" w:hanging="140"/>
              <w:jc w:val="left"/>
              <w:rPr>
                <w:szCs w:val="20"/>
              </w:rPr>
            </w:pPr>
            <w:r w:rsidRPr="009A0AA3">
              <w:rPr>
                <w:rFonts w:ascii="宋体" w:eastAsia="宋体" w:hAnsi="宋体" w:cs="宋体" w:hint="eastAsia"/>
                <w:szCs w:val="20"/>
              </w:rPr>
              <w:t>妊娠不良反应的风险与药理作用有关；</w:t>
            </w:r>
            <w:r w:rsidRPr="009A0AA3">
              <w:rPr>
                <w:rFonts w:ascii="Arial" w:eastAsia="Arial" w:hAnsi="Arial" w:cs="Arial"/>
                <w:szCs w:val="20"/>
              </w:rPr>
              <w:t xml:space="preserve"> </w:t>
            </w:r>
            <w:r w:rsidRPr="009A0AA3">
              <w:rPr>
                <w:rFonts w:ascii="宋体" w:eastAsia="宋体" w:hAnsi="宋体" w:cs="宋体" w:hint="eastAsia"/>
                <w:szCs w:val="20"/>
              </w:rPr>
              <w:t>已经分配的自动对焦足以保护其免受潜在影响。</w:t>
            </w:r>
          </w:p>
        </w:tc>
      </w:tr>
      <w:tr w:rsidR="0026097E" w:rsidRPr="009A0AA3" w14:paraId="512D6172" w14:textId="77777777" w:rsidTr="009A0AA3">
        <w:trPr>
          <w:trHeight w:val="510"/>
        </w:trPr>
        <w:tc>
          <w:tcPr>
            <w:tcW w:w="2247" w:type="dxa"/>
            <w:tcBorders>
              <w:top w:val="nil"/>
              <w:left w:val="nil"/>
              <w:bottom w:val="nil"/>
              <w:right w:val="nil"/>
            </w:tcBorders>
          </w:tcPr>
          <w:p w14:paraId="7C3CB29C" w14:textId="77777777" w:rsidR="0026097E" w:rsidRPr="009A0AA3" w:rsidRDefault="00284695">
            <w:pPr>
              <w:spacing w:after="0" w:line="259" w:lineRule="auto"/>
              <w:ind w:firstLine="0"/>
              <w:jc w:val="left"/>
              <w:rPr>
                <w:rFonts w:ascii="Arial" w:eastAsia="Arial" w:hAnsi="Arial" w:cs="Arial"/>
                <w:szCs w:val="20"/>
              </w:rPr>
            </w:pPr>
            <w:r w:rsidRPr="009A0AA3">
              <w:rPr>
                <w:rFonts w:ascii="Arial" w:eastAsia="Arial" w:hAnsi="Arial" w:cs="Arial"/>
                <w:szCs w:val="20"/>
              </w:rPr>
              <w:lastRenderedPageBreak/>
              <w:t>LOAEL to NOAEL (F5)</w:t>
            </w:r>
          </w:p>
          <w:p w14:paraId="79B16BDA" w14:textId="1B38F8C5" w:rsidR="00751247" w:rsidRPr="009A0AA3" w:rsidRDefault="00C60A63">
            <w:pPr>
              <w:spacing w:after="0" w:line="259" w:lineRule="auto"/>
              <w:ind w:firstLine="0"/>
              <w:jc w:val="left"/>
              <w:rPr>
                <w:szCs w:val="20"/>
              </w:rPr>
            </w:pPr>
            <w:r>
              <w:rPr>
                <w:rFonts w:ascii="宋体" w:eastAsia="宋体" w:hAnsi="宋体" w:cs="宋体" w:hint="eastAsia"/>
                <w:szCs w:val="20"/>
              </w:rPr>
              <w:t>最低不良反应</w:t>
            </w:r>
            <w:r w:rsidR="00751247" w:rsidRPr="009A0AA3">
              <w:rPr>
                <w:rFonts w:ascii="宋体" w:eastAsia="宋体" w:hAnsi="宋体" w:cs="宋体" w:hint="eastAsia"/>
                <w:szCs w:val="20"/>
              </w:rPr>
              <w:t>到</w:t>
            </w:r>
            <w:r>
              <w:rPr>
                <w:rFonts w:ascii="宋体" w:eastAsia="宋体" w:hAnsi="宋体" w:cs="宋体" w:hint="eastAsia"/>
                <w:szCs w:val="20"/>
              </w:rPr>
              <w:t>无</w:t>
            </w:r>
            <w:r w:rsidR="00751247" w:rsidRPr="009A0AA3">
              <w:rPr>
                <w:rFonts w:ascii="宋体" w:eastAsia="宋体" w:hAnsi="宋体" w:cs="宋体" w:hint="eastAsia"/>
                <w:szCs w:val="20"/>
              </w:rPr>
              <w:t>反应</w:t>
            </w:r>
          </w:p>
        </w:tc>
        <w:tc>
          <w:tcPr>
            <w:tcW w:w="981" w:type="dxa"/>
            <w:tcBorders>
              <w:top w:val="nil"/>
              <w:left w:val="nil"/>
              <w:bottom w:val="nil"/>
              <w:right w:val="nil"/>
            </w:tcBorders>
          </w:tcPr>
          <w:p w14:paraId="26837CB0" w14:textId="77777777" w:rsidR="0026097E" w:rsidRPr="009A0AA3" w:rsidRDefault="00284695">
            <w:pPr>
              <w:spacing w:after="0" w:line="259" w:lineRule="auto"/>
              <w:ind w:firstLine="0"/>
              <w:jc w:val="left"/>
              <w:rPr>
                <w:szCs w:val="20"/>
              </w:rPr>
            </w:pPr>
            <w:r w:rsidRPr="009A0AA3">
              <w:rPr>
                <w:rFonts w:ascii="Arial" w:eastAsia="Arial" w:hAnsi="Arial" w:cs="Arial"/>
                <w:szCs w:val="20"/>
              </w:rPr>
              <w:t>3</w:t>
            </w:r>
          </w:p>
        </w:tc>
        <w:tc>
          <w:tcPr>
            <w:tcW w:w="1052" w:type="dxa"/>
            <w:tcBorders>
              <w:top w:val="nil"/>
              <w:left w:val="nil"/>
              <w:bottom w:val="nil"/>
              <w:right w:val="nil"/>
            </w:tcBorders>
          </w:tcPr>
          <w:p w14:paraId="1D533465" w14:textId="77777777" w:rsidR="0026097E" w:rsidRPr="009A0AA3" w:rsidRDefault="00284695">
            <w:pPr>
              <w:spacing w:after="0" w:line="259" w:lineRule="auto"/>
              <w:ind w:firstLine="0"/>
              <w:jc w:val="left"/>
              <w:rPr>
                <w:szCs w:val="20"/>
              </w:rPr>
            </w:pPr>
            <w:r w:rsidRPr="009A0AA3">
              <w:rPr>
                <w:rFonts w:ascii="Arial" w:eastAsia="Arial" w:hAnsi="Arial" w:cs="Arial"/>
                <w:szCs w:val="20"/>
              </w:rPr>
              <w:t>3</w:t>
            </w:r>
          </w:p>
        </w:tc>
        <w:tc>
          <w:tcPr>
            <w:tcW w:w="823" w:type="dxa"/>
            <w:tcBorders>
              <w:top w:val="nil"/>
              <w:left w:val="nil"/>
              <w:bottom w:val="nil"/>
              <w:right w:val="nil"/>
            </w:tcBorders>
          </w:tcPr>
          <w:p w14:paraId="1C0DD2F9" w14:textId="77777777" w:rsidR="0026097E" w:rsidRPr="009A0AA3" w:rsidRDefault="00284695">
            <w:pPr>
              <w:spacing w:after="0" w:line="259" w:lineRule="auto"/>
              <w:ind w:firstLine="0"/>
              <w:jc w:val="left"/>
              <w:rPr>
                <w:szCs w:val="20"/>
              </w:rPr>
            </w:pPr>
            <w:r w:rsidRPr="009A0AA3">
              <w:rPr>
                <w:rFonts w:ascii="Arial" w:eastAsia="Arial" w:hAnsi="Arial" w:cs="Arial"/>
                <w:szCs w:val="20"/>
              </w:rPr>
              <w:t>3</w:t>
            </w:r>
          </w:p>
        </w:tc>
        <w:tc>
          <w:tcPr>
            <w:tcW w:w="5314" w:type="dxa"/>
            <w:tcBorders>
              <w:top w:val="nil"/>
              <w:left w:val="nil"/>
              <w:bottom w:val="nil"/>
              <w:right w:val="nil"/>
            </w:tcBorders>
          </w:tcPr>
          <w:p w14:paraId="59634A7C" w14:textId="101834E4" w:rsidR="0026097E" w:rsidRPr="009A0AA3" w:rsidRDefault="00751247">
            <w:pPr>
              <w:spacing w:after="0" w:line="259" w:lineRule="auto"/>
              <w:ind w:left="140" w:hanging="140"/>
              <w:jc w:val="left"/>
              <w:rPr>
                <w:szCs w:val="20"/>
              </w:rPr>
            </w:pPr>
            <w:r w:rsidRPr="009A0AA3">
              <w:rPr>
                <w:rFonts w:ascii="宋体" w:eastAsia="宋体" w:hAnsi="宋体" w:cs="宋体" w:hint="eastAsia"/>
                <w:szCs w:val="20"/>
              </w:rPr>
              <w:t>基于剂量反应曲线和相关不利影响的光谱，选择了</w:t>
            </w:r>
            <w:r w:rsidRPr="009A0AA3">
              <w:rPr>
                <w:rFonts w:ascii="Arial" w:eastAsia="Arial" w:hAnsi="Arial" w:cs="Arial"/>
                <w:szCs w:val="20"/>
              </w:rPr>
              <w:t>3</w:t>
            </w:r>
            <w:r w:rsidRPr="009A0AA3">
              <w:rPr>
                <w:rFonts w:ascii="宋体" w:eastAsia="宋体" w:hAnsi="宋体" w:cs="宋体" w:hint="eastAsia"/>
                <w:szCs w:val="20"/>
              </w:rPr>
              <w:t>的因子从人</w:t>
            </w:r>
            <w:r w:rsidRPr="009A0AA3">
              <w:rPr>
                <w:rFonts w:ascii="Arial" w:eastAsia="Arial" w:hAnsi="Arial" w:cs="Arial"/>
                <w:szCs w:val="20"/>
              </w:rPr>
              <w:t>LOAEL</w:t>
            </w:r>
            <w:r w:rsidRPr="009A0AA3">
              <w:rPr>
                <w:rFonts w:ascii="宋体" w:eastAsia="宋体" w:hAnsi="宋体" w:cs="宋体" w:hint="eastAsia"/>
                <w:szCs w:val="20"/>
              </w:rPr>
              <w:t>推断为</w:t>
            </w:r>
            <w:r w:rsidRPr="009A0AA3">
              <w:rPr>
                <w:rFonts w:ascii="Arial" w:eastAsia="Arial" w:hAnsi="Arial" w:cs="Arial"/>
                <w:szCs w:val="20"/>
              </w:rPr>
              <w:t>NOAEL</w:t>
            </w:r>
            <w:r w:rsidRPr="009A0AA3">
              <w:rPr>
                <w:rFonts w:ascii="宋体" w:eastAsia="宋体" w:hAnsi="宋体" w:cs="宋体" w:hint="eastAsia"/>
                <w:szCs w:val="20"/>
              </w:rPr>
              <w:t>。</w:t>
            </w:r>
          </w:p>
        </w:tc>
      </w:tr>
      <w:tr w:rsidR="0026097E" w:rsidRPr="009A0AA3" w14:paraId="194698B8" w14:textId="77777777" w:rsidTr="009A0AA3">
        <w:trPr>
          <w:trHeight w:val="171"/>
        </w:trPr>
        <w:tc>
          <w:tcPr>
            <w:tcW w:w="2247" w:type="dxa"/>
            <w:tcBorders>
              <w:top w:val="nil"/>
              <w:left w:val="nil"/>
              <w:bottom w:val="nil"/>
              <w:right w:val="nil"/>
            </w:tcBorders>
          </w:tcPr>
          <w:p w14:paraId="5500298E" w14:textId="19041C75" w:rsidR="0026097E" w:rsidRPr="009A0AA3" w:rsidRDefault="00751247">
            <w:pPr>
              <w:spacing w:after="0" w:line="259" w:lineRule="auto"/>
              <w:ind w:firstLine="0"/>
              <w:jc w:val="left"/>
              <w:rPr>
                <w:szCs w:val="20"/>
              </w:rPr>
            </w:pPr>
            <w:r w:rsidRPr="009A0AA3">
              <w:rPr>
                <w:rFonts w:ascii="宋体" w:eastAsia="宋体" w:hAnsi="宋体" w:cs="宋体" w:hint="eastAsia"/>
                <w:szCs w:val="20"/>
              </w:rPr>
              <w:t>数据库完整性</w:t>
            </w:r>
          </w:p>
        </w:tc>
        <w:tc>
          <w:tcPr>
            <w:tcW w:w="981" w:type="dxa"/>
            <w:tcBorders>
              <w:top w:val="nil"/>
              <w:left w:val="nil"/>
              <w:bottom w:val="nil"/>
              <w:right w:val="nil"/>
            </w:tcBorders>
          </w:tcPr>
          <w:p w14:paraId="02470FF2"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1052" w:type="dxa"/>
            <w:tcBorders>
              <w:top w:val="nil"/>
              <w:left w:val="nil"/>
              <w:bottom w:val="nil"/>
              <w:right w:val="nil"/>
            </w:tcBorders>
          </w:tcPr>
          <w:p w14:paraId="7B3B64D8"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823" w:type="dxa"/>
            <w:tcBorders>
              <w:top w:val="nil"/>
              <w:left w:val="nil"/>
              <w:bottom w:val="nil"/>
              <w:right w:val="nil"/>
            </w:tcBorders>
          </w:tcPr>
          <w:p w14:paraId="30989993"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5314" w:type="dxa"/>
            <w:tcBorders>
              <w:top w:val="nil"/>
              <w:left w:val="nil"/>
              <w:bottom w:val="nil"/>
              <w:right w:val="nil"/>
            </w:tcBorders>
          </w:tcPr>
          <w:p w14:paraId="6948648E" w14:textId="3B116C97" w:rsidR="0026097E" w:rsidRPr="009A0AA3" w:rsidRDefault="00751247">
            <w:pPr>
              <w:spacing w:after="0" w:line="259" w:lineRule="auto"/>
              <w:ind w:firstLine="0"/>
              <w:jc w:val="left"/>
              <w:rPr>
                <w:szCs w:val="20"/>
              </w:rPr>
            </w:pPr>
            <w:r w:rsidRPr="009A0AA3">
              <w:rPr>
                <w:rFonts w:ascii="宋体" w:eastAsia="宋体" w:hAnsi="宋体" w:cs="宋体" w:hint="eastAsia"/>
                <w:szCs w:val="20"/>
              </w:rPr>
              <w:t>超过</w:t>
            </w:r>
            <w:r w:rsidRPr="009A0AA3">
              <w:rPr>
                <w:rFonts w:ascii="Arial" w:eastAsia="Arial" w:hAnsi="Arial" w:cs="Arial"/>
                <w:szCs w:val="20"/>
              </w:rPr>
              <w:t>40</w:t>
            </w:r>
            <w:r w:rsidRPr="009A0AA3">
              <w:rPr>
                <w:rFonts w:ascii="宋体" w:eastAsia="宋体" w:hAnsi="宋体" w:cs="宋体" w:hint="eastAsia"/>
                <w:szCs w:val="20"/>
              </w:rPr>
              <w:t>年的丰富人类经验。</w:t>
            </w:r>
          </w:p>
        </w:tc>
      </w:tr>
      <w:tr w:rsidR="0026097E" w:rsidRPr="009A0AA3" w14:paraId="33EB98A4" w14:textId="77777777" w:rsidTr="009A0AA3">
        <w:trPr>
          <w:trHeight w:val="171"/>
        </w:trPr>
        <w:tc>
          <w:tcPr>
            <w:tcW w:w="2247" w:type="dxa"/>
            <w:tcBorders>
              <w:top w:val="nil"/>
              <w:left w:val="nil"/>
              <w:bottom w:val="nil"/>
              <w:right w:val="nil"/>
            </w:tcBorders>
          </w:tcPr>
          <w:p w14:paraId="445D8B5B" w14:textId="0D3C700E" w:rsidR="0026097E" w:rsidRPr="009A0AA3" w:rsidRDefault="00751247">
            <w:pPr>
              <w:spacing w:after="0" w:line="259" w:lineRule="auto"/>
              <w:ind w:firstLine="0"/>
              <w:jc w:val="left"/>
              <w:rPr>
                <w:szCs w:val="20"/>
              </w:rPr>
            </w:pPr>
            <w:r w:rsidRPr="009A0AA3">
              <w:rPr>
                <w:rFonts w:ascii="宋体" w:eastAsia="宋体" w:hAnsi="宋体" w:cs="宋体" w:hint="eastAsia"/>
                <w:szCs w:val="20"/>
              </w:rPr>
              <w:t>积累</w:t>
            </w:r>
          </w:p>
        </w:tc>
        <w:tc>
          <w:tcPr>
            <w:tcW w:w="981" w:type="dxa"/>
            <w:tcBorders>
              <w:top w:val="nil"/>
              <w:left w:val="nil"/>
              <w:bottom w:val="nil"/>
              <w:right w:val="nil"/>
            </w:tcBorders>
          </w:tcPr>
          <w:p w14:paraId="53B80AF5"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1052" w:type="dxa"/>
            <w:tcBorders>
              <w:top w:val="nil"/>
              <w:left w:val="nil"/>
              <w:bottom w:val="nil"/>
              <w:right w:val="nil"/>
            </w:tcBorders>
          </w:tcPr>
          <w:p w14:paraId="56893E3B"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823" w:type="dxa"/>
            <w:tcBorders>
              <w:top w:val="nil"/>
              <w:left w:val="nil"/>
              <w:bottom w:val="nil"/>
              <w:right w:val="nil"/>
            </w:tcBorders>
          </w:tcPr>
          <w:p w14:paraId="6A25467B"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5314" w:type="dxa"/>
            <w:tcBorders>
              <w:top w:val="nil"/>
              <w:left w:val="nil"/>
              <w:bottom w:val="nil"/>
              <w:right w:val="nil"/>
            </w:tcBorders>
          </w:tcPr>
          <w:p w14:paraId="330DCFD9" w14:textId="34B97C36" w:rsidR="0026097E" w:rsidRPr="009A0AA3" w:rsidRDefault="00751247">
            <w:pPr>
              <w:spacing w:after="0" w:line="259" w:lineRule="auto"/>
              <w:ind w:firstLine="0"/>
              <w:jc w:val="left"/>
              <w:rPr>
                <w:szCs w:val="20"/>
              </w:rPr>
            </w:pPr>
            <w:r w:rsidRPr="009A0AA3">
              <w:rPr>
                <w:rFonts w:ascii="宋体" w:eastAsia="宋体" w:hAnsi="宋体" w:cs="宋体" w:hint="eastAsia"/>
                <w:szCs w:val="20"/>
              </w:rPr>
              <w:t>根据半衰期和</w:t>
            </w:r>
            <w:r w:rsidRPr="009A0AA3">
              <w:rPr>
                <w:rFonts w:ascii="Arial" w:eastAsia="Arial" w:hAnsi="Arial" w:cs="Arial"/>
                <w:szCs w:val="20"/>
              </w:rPr>
              <w:t>PK</w:t>
            </w:r>
            <w:r w:rsidRPr="009A0AA3">
              <w:rPr>
                <w:rFonts w:ascii="宋体" w:eastAsia="宋体" w:hAnsi="宋体" w:cs="宋体" w:hint="eastAsia"/>
                <w:szCs w:val="20"/>
              </w:rPr>
              <w:t>研究未预期到。</w:t>
            </w:r>
          </w:p>
        </w:tc>
      </w:tr>
      <w:tr w:rsidR="0026097E" w:rsidRPr="009A0AA3" w14:paraId="1FAE70D1" w14:textId="77777777" w:rsidTr="009A0AA3">
        <w:trPr>
          <w:trHeight w:val="342"/>
        </w:trPr>
        <w:tc>
          <w:tcPr>
            <w:tcW w:w="2247" w:type="dxa"/>
            <w:tcBorders>
              <w:top w:val="nil"/>
              <w:left w:val="nil"/>
              <w:bottom w:val="nil"/>
              <w:right w:val="nil"/>
            </w:tcBorders>
          </w:tcPr>
          <w:p w14:paraId="704B9920" w14:textId="3755964F" w:rsidR="0026097E" w:rsidRPr="009A0AA3" w:rsidRDefault="00751247">
            <w:pPr>
              <w:spacing w:after="0" w:line="259" w:lineRule="auto"/>
              <w:ind w:firstLine="0"/>
              <w:jc w:val="left"/>
              <w:rPr>
                <w:szCs w:val="20"/>
              </w:rPr>
            </w:pPr>
            <w:r w:rsidRPr="009A0AA3">
              <w:rPr>
                <w:rFonts w:ascii="宋体" w:eastAsia="宋体" w:hAnsi="宋体" w:cs="宋体" w:hint="eastAsia"/>
                <w:szCs w:val="20"/>
              </w:rPr>
              <w:t>吸收性</w:t>
            </w:r>
            <w:r w:rsidR="00284695" w:rsidRPr="009A0AA3">
              <w:rPr>
                <w:rFonts w:ascii="Arial" w:eastAsia="Arial" w:hAnsi="Arial" w:cs="Arial"/>
                <w:szCs w:val="20"/>
              </w:rPr>
              <w:t xml:space="preserve"> (</w:t>
            </w:r>
            <w:r w:rsidR="00284695" w:rsidRPr="009A0AA3">
              <w:rPr>
                <w:szCs w:val="20"/>
              </w:rPr>
              <w:t>α</w:t>
            </w:r>
            <w:r w:rsidR="00284695" w:rsidRPr="009A0AA3">
              <w:rPr>
                <w:rFonts w:ascii="Arial" w:eastAsia="Arial" w:hAnsi="Arial" w:cs="Arial"/>
                <w:szCs w:val="20"/>
              </w:rPr>
              <w:t>)</w:t>
            </w:r>
          </w:p>
        </w:tc>
        <w:tc>
          <w:tcPr>
            <w:tcW w:w="981" w:type="dxa"/>
            <w:tcBorders>
              <w:top w:val="nil"/>
              <w:left w:val="nil"/>
              <w:bottom w:val="nil"/>
              <w:right w:val="nil"/>
            </w:tcBorders>
          </w:tcPr>
          <w:p w14:paraId="1F3E60C1"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1052" w:type="dxa"/>
            <w:tcBorders>
              <w:top w:val="nil"/>
              <w:left w:val="nil"/>
              <w:bottom w:val="nil"/>
              <w:right w:val="nil"/>
            </w:tcBorders>
          </w:tcPr>
          <w:p w14:paraId="371296F8" w14:textId="77777777" w:rsidR="0026097E" w:rsidRPr="009A0AA3" w:rsidRDefault="00284695">
            <w:pPr>
              <w:spacing w:after="0" w:line="259" w:lineRule="auto"/>
              <w:ind w:firstLine="0"/>
              <w:jc w:val="left"/>
              <w:rPr>
                <w:szCs w:val="20"/>
              </w:rPr>
            </w:pPr>
            <w:r w:rsidRPr="009A0AA3">
              <w:rPr>
                <w:rFonts w:ascii="Arial" w:eastAsia="Arial" w:hAnsi="Arial" w:cs="Arial"/>
                <w:szCs w:val="20"/>
              </w:rPr>
              <w:t>1</w:t>
            </w:r>
          </w:p>
        </w:tc>
        <w:tc>
          <w:tcPr>
            <w:tcW w:w="823" w:type="dxa"/>
            <w:tcBorders>
              <w:top w:val="nil"/>
              <w:left w:val="nil"/>
              <w:bottom w:val="nil"/>
              <w:right w:val="nil"/>
            </w:tcBorders>
          </w:tcPr>
          <w:p w14:paraId="5F366D2D" w14:textId="77777777" w:rsidR="0026097E" w:rsidRPr="009A0AA3" w:rsidRDefault="00284695">
            <w:pPr>
              <w:spacing w:after="0" w:line="259" w:lineRule="auto"/>
              <w:ind w:firstLine="0"/>
              <w:jc w:val="left"/>
              <w:rPr>
                <w:szCs w:val="20"/>
              </w:rPr>
            </w:pPr>
            <w:r w:rsidRPr="009A0AA3">
              <w:rPr>
                <w:rFonts w:ascii="Arial" w:eastAsia="Arial" w:hAnsi="Arial" w:cs="Arial"/>
                <w:szCs w:val="20"/>
              </w:rPr>
              <w:t>0.05</w:t>
            </w:r>
          </w:p>
        </w:tc>
        <w:tc>
          <w:tcPr>
            <w:tcW w:w="5314" w:type="dxa"/>
            <w:tcBorders>
              <w:top w:val="nil"/>
              <w:left w:val="nil"/>
              <w:bottom w:val="nil"/>
              <w:right w:val="nil"/>
            </w:tcBorders>
          </w:tcPr>
          <w:p w14:paraId="46074352" w14:textId="38085290" w:rsidR="0026097E" w:rsidRPr="009A0AA3" w:rsidRDefault="00751247">
            <w:pPr>
              <w:spacing w:after="0" w:line="259" w:lineRule="auto"/>
              <w:ind w:right="2594" w:firstLine="0"/>
              <w:jc w:val="left"/>
              <w:rPr>
                <w:szCs w:val="20"/>
              </w:rPr>
            </w:pPr>
            <w:r w:rsidRPr="009A0AA3">
              <w:rPr>
                <w:rFonts w:ascii="宋体" w:eastAsia="宋体" w:hAnsi="宋体" w:cs="宋体" w:hint="eastAsia"/>
                <w:szCs w:val="20"/>
              </w:rPr>
              <w:t>口服和静脉吸收完成。</w:t>
            </w:r>
            <w:r w:rsidRPr="009A0AA3">
              <w:rPr>
                <w:rFonts w:ascii="Arial" w:eastAsia="Arial" w:hAnsi="Arial" w:cs="Arial"/>
                <w:szCs w:val="20"/>
              </w:rPr>
              <w:t xml:space="preserve"> </w:t>
            </w:r>
            <w:r w:rsidRPr="009A0AA3">
              <w:rPr>
                <w:rFonts w:ascii="宋体" w:eastAsia="宋体" w:hAnsi="宋体" w:cs="宋体" w:hint="eastAsia"/>
                <w:szCs w:val="20"/>
              </w:rPr>
              <w:t>皮肤吸收率为</w:t>
            </w:r>
            <w:r w:rsidRPr="009A0AA3">
              <w:rPr>
                <w:rFonts w:ascii="Arial" w:eastAsia="Arial" w:hAnsi="Arial" w:cs="Arial"/>
                <w:szCs w:val="20"/>
              </w:rPr>
              <w:t>5</w:t>
            </w:r>
            <w:r w:rsidRPr="009A0AA3">
              <w:rPr>
                <w:rFonts w:ascii="宋体" w:eastAsia="宋体" w:hAnsi="宋体" w:cs="宋体" w:hint="eastAsia"/>
                <w:szCs w:val="20"/>
              </w:rPr>
              <w:t>％。</w:t>
            </w:r>
          </w:p>
        </w:tc>
      </w:tr>
      <w:tr w:rsidR="0026097E" w:rsidRPr="009A0AA3" w14:paraId="4BF77A2B" w14:textId="77777777" w:rsidTr="009A0AA3">
        <w:trPr>
          <w:trHeight w:val="181"/>
        </w:trPr>
        <w:tc>
          <w:tcPr>
            <w:tcW w:w="2247" w:type="dxa"/>
            <w:tcBorders>
              <w:top w:val="nil"/>
              <w:left w:val="nil"/>
              <w:bottom w:val="nil"/>
              <w:right w:val="nil"/>
            </w:tcBorders>
          </w:tcPr>
          <w:p w14:paraId="022AB51B" w14:textId="77777777" w:rsidR="0026097E" w:rsidRPr="009A0AA3" w:rsidRDefault="00284695">
            <w:pPr>
              <w:spacing w:after="0" w:line="259" w:lineRule="auto"/>
              <w:ind w:firstLine="0"/>
              <w:jc w:val="left"/>
              <w:rPr>
                <w:szCs w:val="20"/>
              </w:rPr>
            </w:pPr>
            <w:r w:rsidRPr="009A0AA3">
              <w:rPr>
                <w:rFonts w:ascii="Arial" w:eastAsia="Arial" w:hAnsi="Arial" w:cs="Arial"/>
                <w:szCs w:val="20"/>
              </w:rPr>
              <w:t>F</w:t>
            </w:r>
            <w:r w:rsidRPr="009A0AA3">
              <w:rPr>
                <w:rFonts w:ascii="Arial" w:eastAsia="Arial" w:hAnsi="Arial" w:cs="Arial"/>
                <w:szCs w:val="20"/>
                <w:vertAlign w:val="subscript"/>
              </w:rPr>
              <w:t>T</w:t>
            </w:r>
          </w:p>
        </w:tc>
        <w:tc>
          <w:tcPr>
            <w:tcW w:w="981" w:type="dxa"/>
            <w:tcBorders>
              <w:top w:val="nil"/>
              <w:left w:val="nil"/>
              <w:bottom w:val="nil"/>
              <w:right w:val="nil"/>
            </w:tcBorders>
          </w:tcPr>
          <w:p w14:paraId="3B72829C" w14:textId="77777777" w:rsidR="0026097E" w:rsidRPr="009A0AA3" w:rsidRDefault="00284695">
            <w:pPr>
              <w:spacing w:after="0" w:line="259" w:lineRule="auto"/>
              <w:ind w:firstLine="0"/>
              <w:jc w:val="left"/>
              <w:rPr>
                <w:szCs w:val="20"/>
              </w:rPr>
            </w:pPr>
            <w:r w:rsidRPr="009A0AA3">
              <w:rPr>
                <w:rFonts w:ascii="Arial" w:eastAsia="Arial" w:hAnsi="Arial" w:cs="Arial"/>
                <w:szCs w:val="20"/>
              </w:rPr>
              <w:t>30</w:t>
            </w:r>
          </w:p>
        </w:tc>
        <w:tc>
          <w:tcPr>
            <w:tcW w:w="1052" w:type="dxa"/>
            <w:tcBorders>
              <w:top w:val="nil"/>
              <w:left w:val="nil"/>
              <w:bottom w:val="nil"/>
              <w:right w:val="nil"/>
            </w:tcBorders>
          </w:tcPr>
          <w:p w14:paraId="33095E30" w14:textId="77777777" w:rsidR="0026097E" w:rsidRPr="009A0AA3" w:rsidRDefault="00284695">
            <w:pPr>
              <w:spacing w:after="0" w:line="259" w:lineRule="auto"/>
              <w:ind w:firstLine="0"/>
              <w:jc w:val="left"/>
              <w:rPr>
                <w:szCs w:val="20"/>
              </w:rPr>
            </w:pPr>
            <w:r w:rsidRPr="009A0AA3">
              <w:rPr>
                <w:rFonts w:ascii="Arial" w:eastAsia="Arial" w:hAnsi="Arial" w:cs="Arial"/>
                <w:szCs w:val="20"/>
              </w:rPr>
              <w:t>30</w:t>
            </w:r>
          </w:p>
        </w:tc>
        <w:tc>
          <w:tcPr>
            <w:tcW w:w="823" w:type="dxa"/>
            <w:tcBorders>
              <w:top w:val="nil"/>
              <w:left w:val="nil"/>
              <w:bottom w:val="nil"/>
              <w:right w:val="nil"/>
            </w:tcBorders>
          </w:tcPr>
          <w:p w14:paraId="096F14CF" w14:textId="77777777" w:rsidR="0026097E" w:rsidRPr="009A0AA3" w:rsidRDefault="00284695">
            <w:pPr>
              <w:spacing w:after="0" w:line="259" w:lineRule="auto"/>
              <w:ind w:firstLine="0"/>
              <w:jc w:val="left"/>
              <w:rPr>
                <w:szCs w:val="20"/>
              </w:rPr>
            </w:pPr>
            <w:r w:rsidRPr="009A0AA3">
              <w:rPr>
                <w:rFonts w:ascii="Arial" w:eastAsia="Arial" w:hAnsi="Arial" w:cs="Arial"/>
                <w:szCs w:val="20"/>
              </w:rPr>
              <w:t>30</w:t>
            </w:r>
          </w:p>
        </w:tc>
        <w:tc>
          <w:tcPr>
            <w:tcW w:w="5314" w:type="dxa"/>
            <w:tcBorders>
              <w:top w:val="nil"/>
              <w:left w:val="nil"/>
              <w:bottom w:val="nil"/>
              <w:right w:val="nil"/>
            </w:tcBorders>
          </w:tcPr>
          <w:p w14:paraId="057DF39D" w14:textId="23A106C1" w:rsidR="0026097E" w:rsidRPr="009A0AA3" w:rsidRDefault="00751247">
            <w:pPr>
              <w:spacing w:after="0" w:line="259" w:lineRule="auto"/>
              <w:ind w:firstLine="0"/>
              <w:jc w:val="left"/>
              <w:rPr>
                <w:szCs w:val="20"/>
              </w:rPr>
            </w:pPr>
            <w:r w:rsidRPr="009A0AA3">
              <w:rPr>
                <w:rFonts w:ascii="宋体" w:eastAsia="宋体" w:hAnsi="宋体" w:cs="宋体" w:hint="eastAsia"/>
                <w:szCs w:val="20"/>
              </w:rPr>
              <w:t>所有分配的</w:t>
            </w:r>
            <w:r w:rsidRPr="009A0AA3">
              <w:rPr>
                <w:rFonts w:ascii="Arial" w:eastAsia="Arial" w:hAnsi="Arial" w:cs="Arial"/>
                <w:szCs w:val="20"/>
              </w:rPr>
              <w:t>AF</w:t>
            </w:r>
            <w:r w:rsidRPr="009A0AA3">
              <w:rPr>
                <w:rFonts w:ascii="宋体" w:eastAsia="宋体" w:hAnsi="宋体" w:cs="宋体" w:hint="eastAsia"/>
                <w:szCs w:val="20"/>
              </w:rPr>
              <w:t>的乘积。</w:t>
            </w:r>
          </w:p>
        </w:tc>
      </w:tr>
      <w:tr w:rsidR="0026097E" w:rsidRPr="009A0AA3" w14:paraId="42A2DF2E" w14:textId="77777777" w:rsidTr="009A0AA3">
        <w:trPr>
          <w:trHeight w:val="181"/>
        </w:trPr>
        <w:tc>
          <w:tcPr>
            <w:tcW w:w="2247" w:type="dxa"/>
            <w:tcBorders>
              <w:top w:val="nil"/>
              <w:left w:val="nil"/>
              <w:bottom w:val="single" w:sz="8" w:space="0" w:color="221F1F"/>
              <w:right w:val="nil"/>
            </w:tcBorders>
          </w:tcPr>
          <w:p w14:paraId="70169CEF" w14:textId="77777777" w:rsidR="0026097E" w:rsidRPr="009A0AA3" w:rsidRDefault="00284695">
            <w:pPr>
              <w:spacing w:after="0" w:line="259" w:lineRule="auto"/>
              <w:ind w:firstLine="0"/>
              <w:jc w:val="left"/>
              <w:rPr>
                <w:szCs w:val="20"/>
              </w:rPr>
            </w:pPr>
            <w:r w:rsidRPr="009A0AA3">
              <w:rPr>
                <w:rFonts w:ascii="Arial" w:eastAsia="Arial" w:hAnsi="Arial" w:cs="Arial"/>
                <w:szCs w:val="20"/>
              </w:rPr>
              <w:t>HBEL</w:t>
            </w:r>
          </w:p>
        </w:tc>
        <w:tc>
          <w:tcPr>
            <w:tcW w:w="981" w:type="dxa"/>
            <w:tcBorders>
              <w:top w:val="nil"/>
              <w:left w:val="nil"/>
              <w:bottom w:val="single" w:sz="8" w:space="0" w:color="221F1F"/>
              <w:right w:val="nil"/>
            </w:tcBorders>
          </w:tcPr>
          <w:p w14:paraId="2E8F6A72" w14:textId="77777777" w:rsidR="0026097E" w:rsidRPr="009A0AA3" w:rsidRDefault="00284695">
            <w:pPr>
              <w:spacing w:after="0" w:line="259" w:lineRule="auto"/>
              <w:ind w:firstLine="0"/>
              <w:jc w:val="left"/>
              <w:rPr>
                <w:szCs w:val="20"/>
              </w:rPr>
            </w:pPr>
            <w:r w:rsidRPr="009A0AA3">
              <w:rPr>
                <w:rFonts w:ascii="Arial" w:eastAsia="Arial" w:hAnsi="Arial" w:cs="Arial"/>
                <w:szCs w:val="20"/>
              </w:rPr>
              <w:t>3 300</w:t>
            </w:r>
          </w:p>
        </w:tc>
        <w:tc>
          <w:tcPr>
            <w:tcW w:w="1052" w:type="dxa"/>
            <w:tcBorders>
              <w:top w:val="nil"/>
              <w:left w:val="nil"/>
              <w:bottom w:val="single" w:sz="8" w:space="0" w:color="221F1F"/>
              <w:right w:val="nil"/>
            </w:tcBorders>
          </w:tcPr>
          <w:p w14:paraId="4EF3675D" w14:textId="77777777" w:rsidR="0026097E" w:rsidRPr="009A0AA3" w:rsidRDefault="00284695">
            <w:pPr>
              <w:spacing w:after="0" w:line="259" w:lineRule="auto"/>
              <w:ind w:firstLine="0"/>
              <w:jc w:val="left"/>
              <w:rPr>
                <w:szCs w:val="20"/>
              </w:rPr>
            </w:pPr>
            <w:r w:rsidRPr="009A0AA3">
              <w:rPr>
                <w:rFonts w:ascii="Arial" w:eastAsia="Arial" w:hAnsi="Arial" w:cs="Arial"/>
                <w:szCs w:val="20"/>
              </w:rPr>
              <w:t>6 700</w:t>
            </w:r>
          </w:p>
        </w:tc>
        <w:tc>
          <w:tcPr>
            <w:tcW w:w="823" w:type="dxa"/>
            <w:tcBorders>
              <w:top w:val="nil"/>
              <w:left w:val="nil"/>
              <w:bottom w:val="single" w:sz="8" w:space="0" w:color="221F1F"/>
              <w:right w:val="nil"/>
            </w:tcBorders>
          </w:tcPr>
          <w:p w14:paraId="6AD12D5B" w14:textId="77777777" w:rsidR="0026097E" w:rsidRPr="009A0AA3" w:rsidRDefault="00284695">
            <w:pPr>
              <w:spacing w:after="0" w:line="259" w:lineRule="auto"/>
              <w:ind w:firstLine="0"/>
              <w:jc w:val="left"/>
              <w:rPr>
                <w:szCs w:val="20"/>
              </w:rPr>
            </w:pPr>
            <w:r w:rsidRPr="009A0AA3">
              <w:rPr>
                <w:rFonts w:ascii="Arial" w:eastAsia="Arial" w:hAnsi="Arial" w:cs="Arial"/>
                <w:szCs w:val="20"/>
              </w:rPr>
              <w:t>200 000</w:t>
            </w:r>
          </w:p>
        </w:tc>
        <w:tc>
          <w:tcPr>
            <w:tcW w:w="5314" w:type="dxa"/>
            <w:tcBorders>
              <w:top w:val="nil"/>
              <w:left w:val="nil"/>
              <w:bottom w:val="single" w:sz="8" w:space="0" w:color="221F1F"/>
              <w:right w:val="nil"/>
            </w:tcBorders>
          </w:tcPr>
          <w:p w14:paraId="75C5DC57" w14:textId="77777777" w:rsidR="0026097E" w:rsidRPr="009A0AA3" w:rsidRDefault="00284695">
            <w:pPr>
              <w:spacing w:after="0" w:line="259" w:lineRule="auto"/>
              <w:ind w:firstLine="0"/>
              <w:jc w:val="left"/>
              <w:rPr>
                <w:szCs w:val="20"/>
              </w:rPr>
            </w:pPr>
            <w:r w:rsidRPr="009A0AA3">
              <w:rPr>
                <w:rFonts w:ascii="Arial" w:eastAsia="Arial" w:hAnsi="Arial" w:cs="Arial"/>
                <w:szCs w:val="20"/>
              </w:rPr>
              <w:t>µg/day for 50 kg patient</w:t>
            </w:r>
          </w:p>
        </w:tc>
      </w:tr>
    </w:tbl>
    <w:p w14:paraId="1516850A" w14:textId="379B25B2" w:rsidR="00022A88" w:rsidRPr="00022A88" w:rsidRDefault="00284695" w:rsidP="00022A88">
      <w:pPr>
        <w:spacing w:after="1" w:line="256" w:lineRule="auto"/>
        <w:ind w:left="105" w:right="8708" w:hanging="120"/>
        <w:jc w:val="left"/>
        <w:rPr>
          <w:rFonts w:ascii="Arial" w:eastAsia="Arial" w:hAnsi="Arial" w:cs="Arial"/>
          <w:iCs/>
          <w:sz w:val="16"/>
          <w:szCs w:val="16"/>
        </w:rPr>
      </w:pPr>
      <w:r w:rsidRPr="00022A88">
        <w:rPr>
          <w:rFonts w:ascii="Arial" w:eastAsia="Arial" w:hAnsi="Arial" w:cs="Arial"/>
          <w:iCs/>
          <w:sz w:val="16"/>
          <w:szCs w:val="16"/>
        </w:rPr>
        <w:t>A</w:t>
      </w:r>
      <w:r w:rsidR="00022A88" w:rsidRPr="00022A88">
        <w:rPr>
          <w:iCs/>
          <w:sz w:val="16"/>
          <w:szCs w:val="16"/>
        </w:rPr>
        <w:t xml:space="preserve"> </w:t>
      </w:r>
      <w:proofErr w:type="spellStart"/>
      <w:r w:rsidR="00022A88" w:rsidRPr="00022A88">
        <w:rPr>
          <w:rFonts w:ascii="Arial" w:eastAsia="Arial" w:hAnsi="Arial" w:cs="Arial"/>
          <w:iCs/>
          <w:sz w:val="16"/>
          <w:szCs w:val="16"/>
        </w:rPr>
        <w:t>PoD</w:t>
      </w:r>
      <w:proofErr w:type="spellEnd"/>
      <w:r w:rsidR="00022A88" w:rsidRPr="00022A88">
        <w:rPr>
          <w:rFonts w:ascii="Arial" w:eastAsia="Arial" w:hAnsi="Arial" w:cs="Arial"/>
          <w:iCs/>
          <w:sz w:val="16"/>
          <w:szCs w:val="16"/>
        </w:rPr>
        <w:t xml:space="preserve"> =</w:t>
      </w:r>
      <w:r w:rsidR="00022A88" w:rsidRPr="00022A88">
        <w:rPr>
          <w:rFonts w:ascii="宋体" w:eastAsia="宋体" w:hAnsi="宋体" w:cs="宋体" w:hint="eastAsia"/>
          <w:iCs/>
          <w:sz w:val="16"/>
          <w:szCs w:val="16"/>
        </w:rPr>
        <w:t>出发点，</w:t>
      </w:r>
    </w:p>
    <w:p w14:paraId="1BFA9DD0" w14:textId="77777777" w:rsidR="00022A88" w:rsidRPr="00022A88" w:rsidRDefault="00022A88" w:rsidP="00022A88">
      <w:pPr>
        <w:spacing w:after="1" w:line="256" w:lineRule="auto"/>
        <w:ind w:left="105" w:right="8708" w:hanging="120"/>
        <w:jc w:val="left"/>
        <w:rPr>
          <w:rFonts w:ascii="Arial" w:eastAsia="Arial" w:hAnsi="Arial" w:cs="Arial"/>
          <w:iCs/>
          <w:sz w:val="16"/>
          <w:szCs w:val="16"/>
        </w:rPr>
      </w:pPr>
      <w:r w:rsidRPr="00022A88">
        <w:rPr>
          <w:rFonts w:ascii="Arial" w:eastAsia="Arial" w:hAnsi="Arial" w:cs="Arial"/>
          <w:iCs/>
          <w:sz w:val="16"/>
          <w:szCs w:val="16"/>
        </w:rPr>
        <w:t>LOAEL =</w:t>
      </w:r>
      <w:r w:rsidRPr="00022A88">
        <w:rPr>
          <w:rFonts w:ascii="宋体" w:eastAsia="宋体" w:hAnsi="宋体" w:cs="宋体" w:hint="eastAsia"/>
          <w:iCs/>
          <w:sz w:val="16"/>
          <w:szCs w:val="16"/>
        </w:rPr>
        <w:t>出发点，</w:t>
      </w:r>
    </w:p>
    <w:p w14:paraId="7884EB7B" w14:textId="77777777" w:rsidR="00022A88" w:rsidRPr="00022A88" w:rsidRDefault="00022A88" w:rsidP="00022A88">
      <w:pPr>
        <w:spacing w:after="1" w:line="256" w:lineRule="auto"/>
        <w:ind w:left="105" w:right="7162" w:hanging="120"/>
        <w:jc w:val="left"/>
        <w:rPr>
          <w:rFonts w:ascii="Arial" w:eastAsia="Arial" w:hAnsi="Arial" w:cs="Arial"/>
          <w:iCs/>
          <w:sz w:val="16"/>
          <w:szCs w:val="16"/>
        </w:rPr>
      </w:pPr>
      <w:r w:rsidRPr="00022A88">
        <w:rPr>
          <w:rFonts w:ascii="Arial" w:eastAsia="Arial" w:hAnsi="Arial" w:cs="Arial"/>
          <w:iCs/>
          <w:sz w:val="16"/>
          <w:szCs w:val="16"/>
        </w:rPr>
        <w:t>NOAEL =</w:t>
      </w:r>
      <w:r w:rsidRPr="00022A88">
        <w:rPr>
          <w:rFonts w:ascii="宋体" w:eastAsia="宋体" w:hAnsi="宋体" w:cs="宋体" w:hint="eastAsia"/>
          <w:iCs/>
          <w:sz w:val="16"/>
          <w:szCs w:val="16"/>
        </w:rPr>
        <w:t>观察到的最低不良反应水平，</w:t>
      </w:r>
    </w:p>
    <w:p w14:paraId="53338476" w14:textId="1E4AD35C" w:rsidR="0026097E" w:rsidRPr="00022A88" w:rsidRDefault="00022A88" w:rsidP="00022A88">
      <w:pPr>
        <w:spacing w:after="1" w:line="256" w:lineRule="auto"/>
        <w:ind w:left="105" w:right="-67" w:hanging="120"/>
        <w:jc w:val="left"/>
        <w:rPr>
          <w:iCs/>
          <w:sz w:val="16"/>
          <w:szCs w:val="16"/>
        </w:rPr>
      </w:pPr>
      <w:r w:rsidRPr="00022A88">
        <w:rPr>
          <w:rFonts w:ascii="Arial" w:eastAsia="Arial" w:hAnsi="Arial" w:cs="Arial"/>
          <w:iCs/>
          <w:sz w:val="16"/>
          <w:szCs w:val="16"/>
        </w:rPr>
        <w:t>FT =</w:t>
      </w:r>
      <w:r w:rsidRPr="00022A88">
        <w:rPr>
          <w:rFonts w:ascii="宋体" w:eastAsia="宋体" w:hAnsi="宋体" w:cs="宋体" w:hint="eastAsia"/>
          <w:iCs/>
          <w:sz w:val="16"/>
          <w:szCs w:val="16"/>
        </w:rPr>
        <w:t>复合调节因子，</w:t>
      </w:r>
      <w:r w:rsidRPr="00022A88">
        <w:rPr>
          <w:rFonts w:ascii="Arial" w:eastAsia="Arial" w:hAnsi="Arial" w:cs="Arial"/>
          <w:iCs/>
          <w:sz w:val="16"/>
          <w:szCs w:val="16"/>
        </w:rPr>
        <w:t>IV =</w:t>
      </w:r>
      <w:r w:rsidRPr="00022A88">
        <w:rPr>
          <w:rFonts w:ascii="宋体" w:eastAsia="宋体" w:hAnsi="宋体" w:cs="宋体" w:hint="eastAsia"/>
          <w:iCs/>
          <w:sz w:val="16"/>
          <w:szCs w:val="16"/>
        </w:rPr>
        <w:t>静脉内。</w:t>
      </w:r>
      <w:r w:rsidRPr="00022A88">
        <w:rPr>
          <w:rFonts w:ascii="Arial" w:eastAsia="Arial" w:hAnsi="Arial" w:cs="Arial"/>
          <w:iCs/>
          <w:sz w:val="16"/>
          <w:szCs w:val="16"/>
        </w:rPr>
        <w:t xml:space="preserve"> </w:t>
      </w:r>
      <w:r w:rsidRPr="00022A88">
        <w:rPr>
          <w:rFonts w:ascii="宋体" w:eastAsia="宋体" w:hAnsi="宋体" w:cs="宋体" w:hint="eastAsia"/>
          <w:iCs/>
          <w:sz w:val="16"/>
          <w:szCs w:val="16"/>
        </w:rPr>
        <w:t>强生的建议剂量为</w:t>
      </w:r>
      <w:r w:rsidRPr="00022A88">
        <w:rPr>
          <w:rFonts w:ascii="Arial" w:eastAsia="Arial" w:hAnsi="Arial" w:cs="Arial"/>
          <w:iCs/>
          <w:sz w:val="16"/>
          <w:szCs w:val="16"/>
        </w:rPr>
        <w:t>5.4–7.7</w:t>
      </w:r>
      <w:r w:rsidRPr="00022A88">
        <w:rPr>
          <w:rFonts w:ascii="宋体" w:eastAsia="宋体" w:hAnsi="宋体" w:cs="宋体" w:hint="eastAsia"/>
          <w:iCs/>
          <w:sz w:val="16"/>
          <w:szCs w:val="16"/>
        </w:rPr>
        <w:t>千克，</w:t>
      </w:r>
      <w:r w:rsidRPr="00022A88">
        <w:rPr>
          <w:rFonts w:ascii="Arial" w:eastAsia="Arial" w:hAnsi="Arial" w:cs="Arial"/>
          <w:iCs/>
          <w:sz w:val="16"/>
          <w:szCs w:val="16"/>
        </w:rPr>
        <w:t>6-11</w:t>
      </w:r>
      <w:r w:rsidRPr="00022A88">
        <w:rPr>
          <w:rFonts w:ascii="宋体" w:eastAsia="宋体" w:hAnsi="宋体" w:cs="宋体" w:hint="eastAsia"/>
          <w:iCs/>
          <w:sz w:val="16"/>
          <w:szCs w:val="16"/>
        </w:rPr>
        <w:t>个月大，剂量为</w:t>
      </w:r>
      <w:r w:rsidRPr="00022A88">
        <w:rPr>
          <w:rFonts w:ascii="Arial" w:eastAsia="Arial" w:hAnsi="Arial" w:cs="Arial"/>
          <w:iCs/>
          <w:sz w:val="16"/>
          <w:szCs w:val="16"/>
        </w:rPr>
        <w:t>50</w:t>
      </w:r>
      <w:r w:rsidRPr="00022A88">
        <w:rPr>
          <w:rFonts w:ascii="宋体" w:eastAsia="宋体" w:hAnsi="宋体" w:cs="宋体" w:hint="eastAsia"/>
          <w:iCs/>
          <w:sz w:val="16"/>
          <w:szCs w:val="16"/>
        </w:rPr>
        <w:t>毫克（</w:t>
      </w:r>
      <w:r w:rsidRPr="00022A88">
        <w:rPr>
          <w:rFonts w:ascii="Arial" w:eastAsia="Arial" w:hAnsi="Arial" w:cs="Arial"/>
          <w:iCs/>
          <w:sz w:val="16"/>
          <w:szCs w:val="16"/>
        </w:rPr>
        <w:t>6.5–9.2</w:t>
      </w:r>
      <w:r w:rsidRPr="00022A88">
        <w:rPr>
          <w:rFonts w:ascii="宋体" w:eastAsia="宋体" w:hAnsi="宋体" w:cs="宋体" w:hint="eastAsia"/>
          <w:iCs/>
          <w:sz w:val="16"/>
          <w:szCs w:val="16"/>
        </w:rPr>
        <w:t>毫克</w:t>
      </w:r>
      <w:r w:rsidRPr="00022A88">
        <w:rPr>
          <w:rFonts w:ascii="Arial" w:eastAsia="Arial" w:hAnsi="Arial" w:cs="Arial"/>
          <w:iCs/>
          <w:sz w:val="16"/>
          <w:szCs w:val="16"/>
        </w:rPr>
        <w:t>/</w:t>
      </w:r>
      <w:r w:rsidRPr="00022A88">
        <w:rPr>
          <w:rFonts w:ascii="宋体" w:eastAsia="宋体" w:hAnsi="宋体" w:cs="宋体" w:hint="eastAsia"/>
          <w:iCs/>
          <w:sz w:val="16"/>
          <w:szCs w:val="16"/>
        </w:rPr>
        <w:t>千克）（</w:t>
      </w:r>
      <w:r w:rsidRPr="00022A88">
        <w:rPr>
          <w:rFonts w:ascii="Arial" w:eastAsia="Arial" w:hAnsi="Arial" w:cs="Arial"/>
          <w:iCs/>
          <w:sz w:val="16"/>
          <w:szCs w:val="16"/>
        </w:rPr>
        <w:t>145</w:t>
      </w:r>
      <w:r w:rsidRPr="00022A88">
        <w:rPr>
          <w:rFonts w:ascii="宋体" w:eastAsia="宋体" w:hAnsi="宋体" w:cs="宋体" w:hint="eastAsia"/>
          <w:iCs/>
          <w:sz w:val="16"/>
          <w:szCs w:val="16"/>
        </w:rPr>
        <w:t>）。</w:t>
      </w:r>
      <w:r w:rsidRPr="00022A88">
        <w:rPr>
          <w:rFonts w:ascii="Arial" w:eastAsia="Arial" w:hAnsi="Arial" w:cs="Arial"/>
          <w:iCs/>
          <w:sz w:val="16"/>
          <w:szCs w:val="16"/>
        </w:rPr>
        <w:t xml:space="preserve"> </w:t>
      </w:r>
      <w:r w:rsidRPr="00022A88">
        <w:rPr>
          <w:rFonts w:ascii="宋体" w:eastAsia="宋体" w:hAnsi="宋体" w:cs="宋体" w:hint="eastAsia"/>
          <w:iCs/>
          <w:sz w:val="16"/>
          <w:szCs w:val="16"/>
        </w:rPr>
        <w:t>但是，基于化学特有的调节因子（</w:t>
      </w:r>
      <w:r w:rsidRPr="00022A88">
        <w:rPr>
          <w:rFonts w:ascii="Arial" w:eastAsia="Arial" w:hAnsi="Arial" w:cs="Arial"/>
          <w:iCs/>
          <w:sz w:val="16"/>
          <w:szCs w:val="16"/>
        </w:rPr>
        <w:t>CSAF</w:t>
      </w:r>
      <w:r w:rsidRPr="00022A88">
        <w:rPr>
          <w:rFonts w:ascii="宋体" w:eastAsia="宋体" w:hAnsi="宋体" w:cs="宋体" w:hint="eastAsia"/>
          <w:iCs/>
          <w:sz w:val="16"/>
          <w:szCs w:val="16"/>
        </w:rPr>
        <w:t>）分析，十倍</w:t>
      </w:r>
      <w:r w:rsidRPr="00022A88">
        <w:rPr>
          <w:rFonts w:ascii="Arial" w:eastAsia="Arial" w:hAnsi="Arial" w:cs="Arial"/>
          <w:iCs/>
          <w:sz w:val="16"/>
          <w:szCs w:val="16"/>
        </w:rPr>
        <w:t>F2</w:t>
      </w:r>
      <w:r w:rsidRPr="00022A88">
        <w:rPr>
          <w:rFonts w:ascii="宋体" w:eastAsia="宋体" w:hAnsi="宋体" w:cs="宋体" w:hint="eastAsia"/>
          <w:iCs/>
          <w:sz w:val="16"/>
          <w:szCs w:val="16"/>
        </w:rPr>
        <w:t>因子包含了综合的</w:t>
      </w:r>
      <w:proofErr w:type="gramStart"/>
      <w:r w:rsidRPr="00022A88">
        <w:rPr>
          <w:rFonts w:ascii="宋体" w:eastAsia="宋体" w:hAnsi="宋体" w:cs="宋体" w:hint="eastAsia"/>
          <w:iCs/>
          <w:sz w:val="16"/>
          <w:szCs w:val="16"/>
        </w:rPr>
        <w:t>个</w:t>
      </w:r>
      <w:proofErr w:type="gramEnd"/>
      <w:r w:rsidRPr="00022A88">
        <w:rPr>
          <w:rFonts w:ascii="宋体" w:eastAsia="宋体" w:hAnsi="宋体" w:cs="宋体" w:hint="eastAsia"/>
          <w:iCs/>
          <w:sz w:val="16"/>
          <w:szCs w:val="16"/>
        </w:rPr>
        <w:t>体内变异性，可以保护儿童（</w:t>
      </w:r>
      <w:r w:rsidRPr="00022A88">
        <w:rPr>
          <w:rFonts w:ascii="Arial" w:eastAsia="Arial" w:hAnsi="Arial" w:cs="Arial"/>
          <w:iCs/>
          <w:sz w:val="16"/>
          <w:szCs w:val="16"/>
        </w:rPr>
        <w:t>CSAF = 3.2</w:t>
      </w:r>
      <w:r w:rsidRPr="00022A88">
        <w:rPr>
          <w:rFonts w:ascii="宋体" w:eastAsia="宋体" w:hAnsi="宋体" w:cs="宋体" w:hint="eastAsia"/>
          <w:iCs/>
          <w:sz w:val="16"/>
          <w:szCs w:val="16"/>
        </w:rPr>
        <w:t>）和老年人群（</w:t>
      </w:r>
      <w:r w:rsidRPr="00022A88">
        <w:rPr>
          <w:rFonts w:ascii="Arial" w:eastAsia="Arial" w:hAnsi="Arial" w:cs="Arial"/>
          <w:iCs/>
          <w:sz w:val="16"/>
          <w:szCs w:val="16"/>
        </w:rPr>
        <w:t>CSAF = 5.4</w:t>
      </w:r>
      <w:r w:rsidRPr="00022A88">
        <w:rPr>
          <w:rFonts w:ascii="宋体" w:eastAsia="宋体" w:hAnsi="宋体" w:cs="宋体" w:hint="eastAsia"/>
          <w:iCs/>
          <w:sz w:val="16"/>
          <w:szCs w:val="16"/>
        </w:rPr>
        <w:t>）（</w:t>
      </w:r>
      <w:r w:rsidRPr="00022A88">
        <w:rPr>
          <w:rFonts w:ascii="Arial" w:eastAsia="Arial" w:hAnsi="Arial" w:cs="Arial"/>
          <w:iCs/>
          <w:sz w:val="16"/>
          <w:szCs w:val="16"/>
        </w:rPr>
        <w:t>146</w:t>
      </w:r>
      <w:r w:rsidRPr="00022A88">
        <w:rPr>
          <w:rFonts w:ascii="宋体" w:eastAsia="宋体" w:hAnsi="宋体" w:cs="宋体" w:hint="eastAsia"/>
          <w:iCs/>
          <w:sz w:val="16"/>
          <w:szCs w:val="16"/>
        </w:rPr>
        <w:t>）</w:t>
      </w:r>
      <w:r w:rsidR="00284695" w:rsidRPr="00022A88">
        <w:rPr>
          <w:rFonts w:ascii="Arial" w:eastAsia="Arial" w:hAnsi="Arial" w:cs="Arial"/>
          <w:iCs/>
          <w:sz w:val="16"/>
          <w:szCs w:val="16"/>
        </w:rPr>
        <w:t>.</w:t>
      </w:r>
    </w:p>
    <w:p w14:paraId="7A6D7343" w14:textId="77777777" w:rsidR="0026097E" w:rsidRDefault="0026097E">
      <w:pPr>
        <w:sectPr w:rsidR="0026097E">
          <w:type w:val="continuous"/>
          <w:pgSz w:w="11674" w:h="15625"/>
          <w:pgMar w:top="1187" w:right="622" w:bottom="1691" w:left="629" w:header="720" w:footer="720" w:gutter="0"/>
          <w:cols w:space="720"/>
        </w:sectPr>
      </w:pPr>
    </w:p>
    <w:p w14:paraId="53EBCDB8" w14:textId="56F777A3" w:rsidR="0026097E" w:rsidRDefault="00022A88">
      <w:pPr>
        <w:ind w:left="-15"/>
      </w:pPr>
      <w:r w:rsidRPr="00022A88">
        <w:t>X2.1.2</w:t>
      </w:r>
      <w:r w:rsidRPr="00022A88">
        <w:rPr>
          <w:rFonts w:ascii="宋体" w:eastAsia="宋体" w:hAnsi="宋体" w:cs="宋体" w:hint="eastAsia"/>
        </w:rPr>
        <w:t>注意，在这种情况下，有几种不同的方法可以计算关于适当</w:t>
      </w:r>
      <w:proofErr w:type="spellStart"/>
      <w:r w:rsidRPr="00022A88">
        <w:t>PoD</w:t>
      </w:r>
      <w:proofErr w:type="spellEnd"/>
      <w:r w:rsidRPr="00022A88">
        <w:rPr>
          <w:rFonts w:ascii="宋体" w:eastAsia="宋体" w:hAnsi="宋体" w:cs="宋体" w:hint="eastAsia"/>
        </w:rPr>
        <w:t>和</w:t>
      </w:r>
      <w:r w:rsidRPr="00022A88">
        <w:t>CSAF</w:t>
      </w:r>
      <w:r w:rsidRPr="00022A88">
        <w:rPr>
          <w:rFonts w:ascii="宋体" w:eastAsia="宋体" w:hAnsi="宋体" w:cs="宋体" w:hint="eastAsia"/>
        </w:rPr>
        <w:t>的</w:t>
      </w:r>
      <w:r w:rsidRPr="00022A88">
        <w:t>HBEL</w:t>
      </w:r>
      <w:r w:rsidRPr="00022A88">
        <w:rPr>
          <w:rFonts w:ascii="宋体" w:eastAsia="宋体" w:hAnsi="宋体" w:cs="宋体" w:hint="eastAsia"/>
        </w:rPr>
        <w:t>。</w:t>
      </w:r>
      <w:r w:rsidRPr="00022A88">
        <w:t xml:space="preserve"> </w:t>
      </w:r>
      <w:r w:rsidRPr="00022A88">
        <w:rPr>
          <w:rFonts w:ascii="宋体" w:eastAsia="宋体" w:hAnsi="宋体" w:cs="宋体" w:hint="eastAsia"/>
        </w:rPr>
        <w:t>关于</w:t>
      </w:r>
      <w:proofErr w:type="spellStart"/>
      <w:r w:rsidRPr="00022A88">
        <w:t>HBELoral</w:t>
      </w:r>
      <w:proofErr w:type="spellEnd"/>
      <w:r w:rsidRPr="00022A88">
        <w:rPr>
          <w:rFonts w:ascii="宋体" w:eastAsia="宋体" w:hAnsi="宋体" w:cs="宋体" w:hint="eastAsia"/>
        </w:rPr>
        <w:t>，也可以使用儿科口服剂量，</w:t>
      </w:r>
      <w:r w:rsidRPr="00022A88">
        <w:t>CSAF 5.4</w:t>
      </w:r>
      <w:r w:rsidRPr="00022A88">
        <w:rPr>
          <w:rFonts w:ascii="宋体" w:eastAsia="宋体" w:hAnsi="宋体" w:cs="宋体" w:hint="eastAsia"/>
        </w:rPr>
        <w:t>可以用于覆盖儿童和老</w:t>
      </w:r>
      <w:r w:rsidRPr="00022A88">
        <w:rPr>
          <w:rFonts w:ascii="宋体" w:eastAsia="宋体" w:hAnsi="宋体" w:cs="宋体" w:hint="eastAsia"/>
        </w:rPr>
        <w:t>年人群（</w:t>
      </w:r>
      <w:proofErr w:type="spellStart"/>
      <w:r w:rsidRPr="00022A88">
        <w:t>PoD</w:t>
      </w:r>
      <w:proofErr w:type="spellEnd"/>
      <w:r w:rsidRPr="00022A88">
        <w:t xml:space="preserve"> = 50 mg</w:t>
      </w:r>
      <w:r w:rsidRPr="00022A88">
        <w:rPr>
          <w:rFonts w:ascii="宋体" w:eastAsia="宋体" w:hAnsi="宋体" w:cs="宋体" w:hint="eastAsia"/>
        </w:rPr>
        <w:t>；</w:t>
      </w:r>
      <w:r w:rsidRPr="00022A88">
        <w:t xml:space="preserve"> FT = 16</w:t>
      </w:r>
      <w:r w:rsidRPr="00022A88">
        <w:rPr>
          <w:rFonts w:ascii="宋体" w:eastAsia="宋体" w:hAnsi="宋体" w:cs="宋体" w:hint="eastAsia"/>
        </w:rPr>
        <w:t>）。</w:t>
      </w:r>
      <w:r w:rsidRPr="00022A88">
        <w:t xml:space="preserve"> </w:t>
      </w:r>
      <w:r w:rsidRPr="00022A88">
        <w:rPr>
          <w:rFonts w:ascii="宋体" w:eastAsia="宋体" w:hAnsi="宋体" w:cs="宋体" w:hint="eastAsia"/>
        </w:rPr>
        <w:t>这将导致类似的限制，并且仍将构成适当的</w:t>
      </w:r>
      <w:r w:rsidRPr="00022A88">
        <w:t>HBEL</w:t>
      </w:r>
      <w:r w:rsidRPr="00022A88">
        <w:rPr>
          <w:rFonts w:ascii="宋体" w:eastAsia="宋体" w:hAnsi="宋体" w:cs="宋体" w:hint="eastAsia"/>
        </w:rPr>
        <w:t>。</w:t>
      </w:r>
    </w:p>
    <w:p w14:paraId="183FF9C4" w14:textId="77777777" w:rsidR="0026097E" w:rsidRDefault="0026097E">
      <w:pPr>
        <w:sectPr w:rsidR="0026097E">
          <w:type w:val="continuous"/>
          <w:pgSz w:w="11674" w:h="15625"/>
          <w:pgMar w:top="1440" w:right="628" w:bottom="1440" w:left="629" w:header="720" w:footer="720" w:gutter="0"/>
          <w:cols w:num="2" w:space="358"/>
        </w:sectPr>
      </w:pPr>
    </w:p>
    <w:p w14:paraId="695D9996" w14:textId="5550EBDA" w:rsidR="0026097E" w:rsidRDefault="00284695" w:rsidP="008E2B3B">
      <w:pPr>
        <w:spacing w:after="293" w:line="259" w:lineRule="auto"/>
        <w:ind w:left="3013" w:firstLine="0"/>
      </w:pPr>
      <w:r>
        <w:rPr>
          <w:b/>
          <w:sz w:val="18"/>
        </w:rPr>
        <w:t xml:space="preserve">X3. </w:t>
      </w:r>
      <w:r w:rsidR="00022A88" w:rsidRPr="00022A88">
        <w:rPr>
          <w:rFonts w:ascii="宋体" w:eastAsia="宋体" w:hAnsi="宋体" w:cs="宋体" w:hint="eastAsia"/>
          <w:b/>
          <w:sz w:val="18"/>
        </w:rPr>
        <w:t>医疗设备测试指南</w:t>
      </w:r>
    </w:p>
    <w:p w14:paraId="46D9F0F9" w14:textId="40E8BED5" w:rsidR="0026097E" w:rsidRDefault="00284695">
      <w:pPr>
        <w:spacing w:after="31" w:line="259" w:lineRule="auto"/>
        <w:ind w:left="-5" w:hanging="10"/>
        <w:jc w:val="left"/>
      </w:pPr>
      <w:r>
        <w:t xml:space="preserve">X3.1 </w:t>
      </w:r>
      <w:r w:rsidR="00022A88">
        <w:rPr>
          <w:rFonts w:ascii="宋体" w:eastAsia="宋体" w:hAnsi="宋体" w:cs="宋体" w:hint="eastAsia"/>
        </w:rPr>
        <w:t>看表</w:t>
      </w:r>
      <w:r>
        <w:rPr>
          <w:color w:val="C1151A"/>
        </w:rPr>
        <w:t xml:space="preserve"> X3.1</w:t>
      </w:r>
      <w:r>
        <w:t>.</w:t>
      </w:r>
    </w:p>
    <w:p w14:paraId="31FE665C" w14:textId="3B6417A3" w:rsidR="0026097E" w:rsidRDefault="00284695">
      <w:pPr>
        <w:spacing w:after="0" w:line="259" w:lineRule="auto"/>
        <w:ind w:left="3236" w:hanging="10"/>
        <w:jc w:val="left"/>
      </w:pPr>
      <w:r>
        <w:rPr>
          <w:rFonts w:ascii="Arial" w:eastAsia="Arial" w:hAnsi="Arial" w:cs="Arial"/>
          <w:b/>
          <w:sz w:val="16"/>
        </w:rPr>
        <w:t xml:space="preserve">TABLE X3.1 </w:t>
      </w:r>
      <w:r w:rsidR="00022A88" w:rsidRPr="00022A88">
        <w:rPr>
          <w:rFonts w:ascii="宋体" w:eastAsia="宋体" w:hAnsi="宋体" w:cs="宋体" w:hint="eastAsia"/>
          <w:b/>
          <w:sz w:val="16"/>
        </w:rPr>
        <w:t>医疗设备测试指南</w:t>
      </w:r>
    </w:p>
    <w:tbl>
      <w:tblPr>
        <w:tblStyle w:val="TableGrid"/>
        <w:tblW w:w="10417" w:type="dxa"/>
        <w:tblInd w:w="-190" w:type="dxa"/>
        <w:tblCellMar>
          <w:top w:w="21" w:type="dxa"/>
          <w:right w:w="92" w:type="dxa"/>
        </w:tblCellMar>
        <w:tblLook w:val="04A0" w:firstRow="1" w:lastRow="0" w:firstColumn="1" w:lastColumn="0" w:noHBand="0" w:noVBand="1"/>
      </w:tblPr>
      <w:tblGrid>
        <w:gridCol w:w="3025"/>
        <w:gridCol w:w="2552"/>
        <w:gridCol w:w="4840"/>
      </w:tblGrid>
      <w:tr w:rsidR="0026097E" w14:paraId="01F80D28" w14:textId="77777777" w:rsidTr="00EC1A52">
        <w:trPr>
          <w:trHeight w:val="233"/>
        </w:trPr>
        <w:tc>
          <w:tcPr>
            <w:tcW w:w="3025" w:type="dxa"/>
            <w:tcBorders>
              <w:top w:val="single" w:sz="8" w:space="0" w:color="221F1F"/>
              <w:left w:val="nil"/>
              <w:bottom w:val="single" w:sz="4" w:space="0" w:color="221F1F"/>
              <w:right w:val="nil"/>
            </w:tcBorders>
          </w:tcPr>
          <w:p w14:paraId="07A9B277" w14:textId="2EF23998" w:rsidR="0026097E" w:rsidRPr="009A0AA3" w:rsidRDefault="00022A88">
            <w:pPr>
              <w:spacing w:after="0" w:line="259" w:lineRule="auto"/>
              <w:ind w:right="27" w:firstLine="0"/>
              <w:jc w:val="center"/>
              <w:rPr>
                <w:szCs w:val="20"/>
              </w:rPr>
            </w:pPr>
            <w:r w:rsidRPr="009A0AA3">
              <w:rPr>
                <w:rFonts w:ascii="宋体" w:eastAsia="宋体" w:hAnsi="宋体" w:cs="宋体" w:hint="eastAsia"/>
                <w:szCs w:val="20"/>
              </w:rPr>
              <w:t>测试类别</w:t>
            </w:r>
          </w:p>
        </w:tc>
        <w:tc>
          <w:tcPr>
            <w:tcW w:w="2552" w:type="dxa"/>
            <w:tcBorders>
              <w:top w:val="single" w:sz="8" w:space="0" w:color="221F1F"/>
              <w:left w:val="nil"/>
              <w:bottom w:val="single" w:sz="4" w:space="0" w:color="221F1F"/>
              <w:right w:val="nil"/>
            </w:tcBorders>
          </w:tcPr>
          <w:p w14:paraId="143026F2" w14:textId="20E91ECD" w:rsidR="0026097E" w:rsidRPr="009A0AA3" w:rsidRDefault="00022A88">
            <w:pPr>
              <w:spacing w:after="0" w:line="259" w:lineRule="auto"/>
              <w:ind w:right="27" w:firstLine="0"/>
              <w:jc w:val="center"/>
              <w:rPr>
                <w:szCs w:val="20"/>
              </w:rPr>
            </w:pPr>
            <w:r w:rsidRPr="009A0AA3">
              <w:rPr>
                <w:rFonts w:ascii="宋体" w:eastAsia="宋体" w:hAnsi="宋体" w:cs="宋体" w:hint="eastAsia"/>
                <w:szCs w:val="20"/>
              </w:rPr>
              <w:t>标准组织</w:t>
            </w:r>
          </w:p>
        </w:tc>
        <w:tc>
          <w:tcPr>
            <w:tcW w:w="4840" w:type="dxa"/>
            <w:tcBorders>
              <w:top w:val="single" w:sz="8" w:space="0" w:color="221F1F"/>
              <w:left w:val="nil"/>
              <w:bottom w:val="single" w:sz="4" w:space="0" w:color="221F1F"/>
              <w:right w:val="nil"/>
            </w:tcBorders>
          </w:tcPr>
          <w:p w14:paraId="1652CFBC" w14:textId="1304EFA9" w:rsidR="0026097E" w:rsidRPr="009A0AA3" w:rsidRDefault="00022A88">
            <w:pPr>
              <w:spacing w:after="0" w:line="259" w:lineRule="auto"/>
              <w:ind w:left="93" w:firstLine="0"/>
              <w:jc w:val="center"/>
              <w:rPr>
                <w:szCs w:val="20"/>
              </w:rPr>
            </w:pPr>
            <w:r w:rsidRPr="009A0AA3">
              <w:rPr>
                <w:rFonts w:ascii="宋体" w:eastAsia="宋体" w:hAnsi="宋体" w:cs="宋体" w:hint="eastAsia"/>
                <w:szCs w:val="20"/>
              </w:rPr>
              <w:t>可用标准</w:t>
            </w:r>
          </w:p>
        </w:tc>
      </w:tr>
      <w:tr w:rsidR="00022A88" w14:paraId="697CABF7" w14:textId="77777777" w:rsidTr="00EC1A52">
        <w:trPr>
          <w:trHeight w:val="298"/>
        </w:trPr>
        <w:tc>
          <w:tcPr>
            <w:tcW w:w="3025" w:type="dxa"/>
            <w:tcBorders>
              <w:top w:val="single" w:sz="4" w:space="0" w:color="221F1F"/>
              <w:left w:val="nil"/>
              <w:bottom w:val="nil"/>
              <w:right w:val="nil"/>
            </w:tcBorders>
          </w:tcPr>
          <w:p w14:paraId="241D714E" w14:textId="7671B374" w:rsidR="00022A88" w:rsidRPr="009A0AA3" w:rsidRDefault="00022A88" w:rsidP="00022A88">
            <w:pPr>
              <w:spacing w:after="0" w:line="259" w:lineRule="auto"/>
              <w:ind w:firstLine="0"/>
              <w:jc w:val="left"/>
              <w:rPr>
                <w:szCs w:val="20"/>
              </w:rPr>
            </w:pPr>
            <w:r w:rsidRPr="009A0AA3">
              <w:rPr>
                <w:rFonts w:ascii="宋体" w:eastAsia="宋体" w:hAnsi="宋体" w:cs="宋体" w:hint="eastAsia"/>
                <w:szCs w:val="20"/>
              </w:rPr>
              <w:t>提取测试的样品制备</w:t>
            </w:r>
          </w:p>
        </w:tc>
        <w:tc>
          <w:tcPr>
            <w:tcW w:w="2552" w:type="dxa"/>
            <w:tcBorders>
              <w:top w:val="single" w:sz="4" w:space="0" w:color="221F1F"/>
              <w:left w:val="nil"/>
              <w:bottom w:val="nil"/>
              <w:right w:val="nil"/>
            </w:tcBorders>
          </w:tcPr>
          <w:p w14:paraId="1890728A" w14:textId="77777777" w:rsidR="00022A88" w:rsidRPr="009A0AA3" w:rsidRDefault="00022A88" w:rsidP="00022A88">
            <w:pPr>
              <w:spacing w:after="0" w:line="259" w:lineRule="auto"/>
              <w:ind w:firstLine="0"/>
              <w:jc w:val="left"/>
              <w:rPr>
                <w:szCs w:val="20"/>
              </w:rPr>
            </w:pPr>
            <w:r w:rsidRPr="009A0AA3">
              <w:rPr>
                <w:rFonts w:ascii="Arial" w:eastAsia="Arial" w:hAnsi="Arial" w:cs="Arial"/>
                <w:szCs w:val="20"/>
              </w:rPr>
              <w:t>ASTM</w:t>
            </w:r>
          </w:p>
        </w:tc>
        <w:tc>
          <w:tcPr>
            <w:tcW w:w="4840" w:type="dxa"/>
            <w:tcBorders>
              <w:top w:val="single" w:sz="4" w:space="0" w:color="221F1F"/>
              <w:left w:val="nil"/>
              <w:bottom w:val="nil"/>
              <w:right w:val="nil"/>
            </w:tcBorders>
          </w:tcPr>
          <w:p w14:paraId="7886E142" w14:textId="77777777" w:rsidR="00022A88" w:rsidRPr="009A0AA3" w:rsidRDefault="00022A88" w:rsidP="00022A88">
            <w:pPr>
              <w:spacing w:after="0" w:line="259" w:lineRule="auto"/>
              <w:ind w:firstLine="0"/>
              <w:jc w:val="left"/>
              <w:rPr>
                <w:szCs w:val="20"/>
              </w:rPr>
            </w:pPr>
            <w:r w:rsidRPr="009A0AA3">
              <w:rPr>
                <w:rFonts w:ascii="Arial" w:eastAsia="Arial" w:hAnsi="Arial" w:cs="Arial"/>
                <w:color w:val="C1151A"/>
                <w:szCs w:val="20"/>
              </w:rPr>
              <w:t>F619</w:t>
            </w:r>
          </w:p>
        </w:tc>
      </w:tr>
      <w:tr w:rsidR="00022A88" w14:paraId="64124244" w14:textId="77777777" w:rsidTr="00EC1A52">
        <w:trPr>
          <w:trHeight w:val="596"/>
        </w:trPr>
        <w:tc>
          <w:tcPr>
            <w:tcW w:w="3025" w:type="dxa"/>
            <w:tcBorders>
              <w:top w:val="nil"/>
              <w:left w:val="nil"/>
              <w:bottom w:val="nil"/>
              <w:right w:val="nil"/>
            </w:tcBorders>
          </w:tcPr>
          <w:p w14:paraId="6EDE20D5" w14:textId="7527A632" w:rsidR="00022A88" w:rsidRPr="009A0AA3" w:rsidRDefault="00022A88" w:rsidP="00022A88">
            <w:pPr>
              <w:spacing w:after="0" w:line="259" w:lineRule="auto"/>
              <w:ind w:firstLine="0"/>
              <w:jc w:val="left"/>
              <w:rPr>
                <w:szCs w:val="20"/>
              </w:rPr>
            </w:pPr>
            <w:r w:rsidRPr="009A0AA3">
              <w:rPr>
                <w:rFonts w:ascii="宋体" w:eastAsia="宋体" w:hAnsi="宋体" w:cs="宋体" w:hint="eastAsia"/>
                <w:szCs w:val="20"/>
              </w:rPr>
              <w:t>通用生物相容性和安全性测试</w:t>
            </w:r>
          </w:p>
        </w:tc>
        <w:tc>
          <w:tcPr>
            <w:tcW w:w="2552" w:type="dxa"/>
            <w:tcBorders>
              <w:top w:val="nil"/>
              <w:left w:val="nil"/>
              <w:bottom w:val="nil"/>
              <w:right w:val="nil"/>
            </w:tcBorders>
          </w:tcPr>
          <w:p w14:paraId="5A9E801E" w14:textId="77777777" w:rsidR="00022A88" w:rsidRPr="009A0AA3" w:rsidRDefault="00022A88" w:rsidP="00022A88">
            <w:pPr>
              <w:spacing w:after="0" w:line="259" w:lineRule="auto"/>
              <w:ind w:firstLine="0"/>
              <w:jc w:val="left"/>
              <w:rPr>
                <w:szCs w:val="20"/>
              </w:rPr>
            </w:pPr>
            <w:r w:rsidRPr="009A0AA3">
              <w:rPr>
                <w:rFonts w:ascii="Arial" w:eastAsia="Arial" w:hAnsi="Arial" w:cs="Arial"/>
                <w:szCs w:val="20"/>
              </w:rPr>
              <w:t>ASTM</w:t>
            </w:r>
          </w:p>
        </w:tc>
        <w:tc>
          <w:tcPr>
            <w:tcW w:w="4840" w:type="dxa"/>
            <w:tcBorders>
              <w:top w:val="nil"/>
              <w:left w:val="nil"/>
              <w:bottom w:val="nil"/>
              <w:right w:val="nil"/>
            </w:tcBorders>
          </w:tcPr>
          <w:p w14:paraId="19EDF068" w14:textId="77777777" w:rsidR="00022A88" w:rsidRPr="009A0AA3" w:rsidRDefault="00022A88" w:rsidP="00022A88">
            <w:pPr>
              <w:spacing w:after="0" w:line="259" w:lineRule="auto"/>
              <w:ind w:firstLine="0"/>
              <w:jc w:val="left"/>
              <w:rPr>
                <w:rFonts w:ascii="Arial" w:eastAsia="Arial" w:hAnsi="Arial" w:cs="Arial"/>
                <w:szCs w:val="20"/>
              </w:rPr>
            </w:pPr>
            <w:r w:rsidRPr="009A0AA3">
              <w:rPr>
                <w:rFonts w:ascii="宋体" w:eastAsia="宋体" w:hAnsi="宋体" w:cs="宋体" w:hint="eastAsia"/>
                <w:szCs w:val="20"/>
              </w:rPr>
              <w:t>可萃取物和</w:t>
            </w:r>
            <w:proofErr w:type="gramStart"/>
            <w:r w:rsidRPr="009A0AA3">
              <w:rPr>
                <w:rFonts w:ascii="宋体" w:eastAsia="宋体" w:hAnsi="宋体" w:cs="宋体" w:hint="eastAsia"/>
                <w:szCs w:val="20"/>
              </w:rPr>
              <w:t>可</w:t>
            </w:r>
            <w:proofErr w:type="gramEnd"/>
            <w:r w:rsidRPr="009A0AA3">
              <w:rPr>
                <w:rFonts w:ascii="宋体" w:eastAsia="宋体" w:hAnsi="宋体" w:cs="宋体" w:hint="eastAsia"/>
                <w:szCs w:val="20"/>
              </w:rPr>
              <w:t>浸出物的最佳做法</w:t>
            </w:r>
          </w:p>
          <w:p w14:paraId="2E789C55" w14:textId="582C853F" w:rsidR="00022A88" w:rsidRPr="009A0AA3" w:rsidRDefault="00022A88" w:rsidP="00022A88">
            <w:pPr>
              <w:spacing w:after="0" w:line="259" w:lineRule="auto"/>
              <w:ind w:left="140" w:firstLine="0"/>
              <w:jc w:val="left"/>
              <w:rPr>
                <w:szCs w:val="20"/>
              </w:rPr>
            </w:pPr>
            <w:r w:rsidRPr="009A0AA3">
              <w:rPr>
                <w:rFonts w:ascii="宋体" w:eastAsia="宋体" w:hAnsi="宋体" w:cs="宋体" w:hint="eastAsia"/>
                <w:szCs w:val="20"/>
              </w:rPr>
              <w:t>（</w:t>
            </w:r>
            <w:r w:rsidRPr="009A0AA3">
              <w:rPr>
                <w:rFonts w:ascii="Arial" w:eastAsia="Arial" w:hAnsi="Arial" w:cs="Arial"/>
                <w:szCs w:val="20"/>
              </w:rPr>
              <w:t>E</w:t>
            </w:r>
            <w:r w:rsidRPr="009A0AA3">
              <w:rPr>
                <w:rFonts w:ascii="宋体" w:eastAsia="宋体" w:hAnsi="宋体" w:cs="宋体" w:hint="eastAsia"/>
                <w:szCs w:val="20"/>
              </w:rPr>
              <w:t>＆</w:t>
            </w:r>
            <w:r w:rsidRPr="009A0AA3">
              <w:rPr>
                <w:rFonts w:ascii="Arial" w:eastAsia="Arial" w:hAnsi="Arial" w:cs="Arial"/>
                <w:szCs w:val="20"/>
              </w:rPr>
              <w:t>L</w:t>
            </w:r>
            <w:r w:rsidRPr="009A0AA3">
              <w:rPr>
                <w:rFonts w:ascii="宋体" w:eastAsia="宋体" w:hAnsi="宋体" w:cs="宋体" w:hint="eastAsia"/>
                <w:szCs w:val="20"/>
              </w:rPr>
              <w:t>）口服和</w:t>
            </w:r>
            <w:proofErr w:type="gramStart"/>
            <w:r w:rsidRPr="009A0AA3">
              <w:rPr>
                <w:rFonts w:ascii="宋体" w:eastAsia="宋体" w:hAnsi="宋体" w:cs="宋体" w:hint="eastAsia"/>
                <w:szCs w:val="20"/>
              </w:rPr>
              <w:t>鼻用</w:t>
            </w:r>
            <w:proofErr w:type="gramEnd"/>
            <w:r w:rsidRPr="009A0AA3">
              <w:rPr>
                <w:rFonts w:ascii="宋体" w:eastAsia="宋体" w:hAnsi="宋体" w:cs="宋体" w:hint="eastAsia"/>
                <w:szCs w:val="20"/>
              </w:rPr>
              <w:t>药物（</w:t>
            </w:r>
            <w:r w:rsidRPr="009A0AA3">
              <w:rPr>
                <w:rFonts w:ascii="Arial" w:eastAsia="Arial" w:hAnsi="Arial" w:cs="Arial"/>
                <w:szCs w:val="20"/>
              </w:rPr>
              <w:t>OINDP</w:t>
            </w:r>
            <w:r w:rsidRPr="009A0AA3">
              <w:rPr>
                <w:rFonts w:ascii="宋体" w:eastAsia="宋体" w:hAnsi="宋体" w:cs="宋体" w:hint="eastAsia"/>
                <w:szCs w:val="20"/>
              </w:rPr>
              <w:t>）（</w:t>
            </w:r>
            <w:r w:rsidRPr="009A0AA3">
              <w:rPr>
                <w:rFonts w:ascii="Arial" w:eastAsia="Arial" w:hAnsi="Arial" w:cs="Arial"/>
                <w:szCs w:val="20"/>
              </w:rPr>
              <w:t>147</w:t>
            </w:r>
            <w:r w:rsidRPr="009A0AA3">
              <w:rPr>
                <w:rFonts w:ascii="宋体" w:eastAsia="宋体" w:hAnsi="宋体" w:cs="宋体" w:hint="eastAsia"/>
                <w:szCs w:val="20"/>
              </w:rPr>
              <w:t>）</w:t>
            </w:r>
          </w:p>
        </w:tc>
      </w:tr>
      <w:tr w:rsidR="0026097E" w14:paraId="774FC2B3" w14:textId="77777777" w:rsidTr="00EC1A52">
        <w:trPr>
          <w:trHeight w:val="510"/>
        </w:trPr>
        <w:tc>
          <w:tcPr>
            <w:tcW w:w="3025" w:type="dxa"/>
            <w:tcBorders>
              <w:top w:val="nil"/>
              <w:left w:val="nil"/>
              <w:bottom w:val="nil"/>
              <w:right w:val="nil"/>
            </w:tcBorders>
          </w:tcPr>
          <w:p w14:paraId="2B851F4B" w14:textId="77777777" w:rsidR="0026097E" w:rsidRPr="009A0AA3" w:rsidRDefault="0026097E">
            <w:pPr>
              <w:spacing w:after="160" w:line="259" w:lineRule="auto"/>
              <w:ind w:firstLine="0"/>
              <w:jc w:val="left"/>
              <w:rPr>
                <w:szCs w:val="20"/>
              </w:rPr>
            </w:pPr>
          </w:p>
        </w:tc>
        <w:tc>
          <w:tcPr>
            <w:tcW w:w="2552" w:type="dxa"/>
            <w:tcBorders>
              <w:top w:val="nil"/>
              <w:left w:val="nil"/>
              <w:bottom w:val="nil"/>
              <w:right w:val="nil"/>
            </w:tcBorders>
          </w:tcPr>
          <w:p w14:paraId="2D0E4C00" w14:textId="0720D1D4" w:rsidR="0026097E" w:rsidRPr="009A0AA3" w:rsidRDefault="00EC1A52">
            <w:pPr>
              <w:spacing w:after="0" w:line="259" w:lineRule="auto"/>
              <w:ind w:firstLine="0"/>
              <w:jc w:val="left"/>
              <w:rPr>
                <w:szCs w:val="20"/>
              </w:rPr>
            </w:pPr>
            <w:r w:rsidRPr="00EC1A52">
              <w:rPr>
                <w:rFonts w:ascii="宋体" w:eastAsia="宋体" w:hAnsi="宋体" w:cs="宋体" w:hint="eastAsia"/>
                <w:szCs w:val="20"/>
              </w:rPr>
              <w:t>产品质量研究所</w:t>
            </w:r>
            <w:r w:rsidR="00284695" w:rsidRPr="009A0AA3">
              <w:rPr>
                <w:rFonts w:ascii="Arial" w:eastAsia="Arial" w:hAnsi="Arial" w:cs="Arial"/>
                <w:szCs w:val="20"/>
              </w:rPr>
              <w:t>(PQRI)</w:t>
            </w:r>
          </w:p>
        </w:tc>
        <w:tc>
          <w:tcPr>
            <w:tcW w:w="4840" w:type="dxa"/>
            <w:tcBorders>
              <w:top w:val="nil"/>
              <w:left w:val="nil"/>
              <w:bottom w:val="nil"/>
              <w:right w:val="nil"/>
            </w:tcBorders>
          </w:tcPr>
          <w:p w14:paraId="188667FB" w14:textId="700F6769" w:rsidR="0026097E" w:rsidRPr="009A0AA3" w:rsidRDefault="00022A88">
            <w:pPr>
              <w:spacing w:after="0" w:line="259" w:lineRule="auto"/>
              <w:ind w:left="140" w:hanging="140"/>
              <w:jc w:val="left"/>
              <w:rPr>
                <w:szCs w:val="20"/>
              </w:rPr>
            </w:pPr>
            <w:r w:rsidRPr="009A0AA3">
              <w:rPr>
                <w:rFonts w:ascii="宋体" w:eastAsia="宋体" w:hAnsi="宋体" w:cs="宋体" w:hint="eastAsia"/>
                <w:szCs w:val="20"/>
              </w:rPr>
              <w:t>肠胃外和眼科药物产品（</w:t>
            </w:r>
            <w:r w:rsidRPr="009A0AA3">
              <w:rPr>
                <w:rFonts w:ascii="Arial" w:eastAsia="Arial" w:hAnsi="Arial" w:cs="Arial"/>
                <w:szCs w:val="20"/>
              </w:rPr>
              <w:t>PODP</w:t>
            </w:r>
            <w:r w:rsidRPr="009A0AA3">
              <w:rPr>
                <w:rFonts w:ascii="宋体" w:eastAsia="宋体" w:hAnsi="宋体" w:cs="宋体" w:hint="eastAsia"/>
                <w:szCs w:val="20"/>
              </w:rPr>
              <w:t>）的可浸出物和</w:t>
            </w:r>
            <w:proofErr w:type="gramStart"/>
            <w:r w:rsidRPr="009A0AA3">
              <w:rPr>
                <w:rFonts w:ascii="宋体" w:eastAsia="宋体" w:hAnsi="宋体" w:cs="宋体" w:hint="eastAsia"/>
                <w:szCs w:val="20"/>
              </w:rPr>
              <w:t>可</w:t>
            </w:r>
            <w:proofErr w:type="gramEnd"/>
            <w:r w:rsidRPr="009A0AA3">
              <w:rPr>
                <w:rFonts w:ascii="宋体" w:eastAsia="宋体" w:hAnsi="宋体" w:cs="宋体" w:hint="eastAsia"/>
                <w:szCs w:val="20"/>
              </w:rPr>
              <w:t>萃取物工作组倡议（</w:t>
            </w:r>
            <w:r w:rsidRPr="009A0AA3">
              <w:rPr>
                <w:rFonts w:ascii="Arial" w:eastAsia="Arial" w:hAnsi="Arial" w:cs="Arial"/>
                <w:szCs w:val="20"/>
              </w:rPr>
              <w:t>148</w:t>
            </w:r>
            <w:r w:rsidRPr="009A0AA3">
              <w:rPr>
                <w:rFonts w:ascii="宋体" w:eastAsia="宋体" w:hAnsi="宋体" w:cs="宋体" w:hint="eastAsia"/>
                <w:szCs w:val="20"/>
              </w:rPr>
              <w:t>）</w:t>
            </w:r>
          </w:p>
        </w:tc>
      </w:tr>
      <w:tr w:rsidR="0026097E" w14:paraId="6B675DAA" w14:textId="77777777" w:rsidTr="00EC1A52">
        <w:trPr>
          <w:trHeight w:val="428"/>
        </w:trPr>
        <w:tc>
          <w:tcPr>
            <w:tcW w:w="3025" w:type="dxa"/>
            <w:tcBorders>
              <w:top w:val="nil"/>
              <w:left w:val="nil"/>
              <w:bottom w:val="nil"/>
              <w:right w:val="nil"/>
            </w:tcBorders>
          </w:tcPr>
          <w:p w14:paraId="49ED47E9" w14:textId="77777777" w:rsidR="0026097E" w:rsidRPr="009A0AA3" w:rsidRDefault="0026097E">
            <w:pPr>
              <w:spacing w:after="160" w:line="259" w:lineRule="auto"/>
              <w:ind w:firstLine="0"/>
              <w:jc w:val="left"/>
              <w:rPr>
                <w:szCs w:val="20"/>
              </w:rPr>
            </w:pPr>
          </w:p>
        </w:tc>
        <w:tc>
          <w:tcPr>
            <w:tcW w:w="2552" w:type="dxa"/>
            <w:tcBorders>
              <w:top w:val="nil"/>
              <w:left w:val="nil"/>
              <w:bottom w:val="nil"/>
              <w:right w:val="nil"/>
            </w:tcBorders>
          </w:tcPr>
          <w:p w14:paraId="2EEC8B4A" w14:textId="2E393399" w:rsidR="0026097E" w:rsidRPr="009A0AA3" w:rsidRDefault="00EC1A52">
            <w:pPr>
              <w:spacing w:after="0" w:line="259" w:lineRule="auto"/>
              <w:ind w:firstLine="0"/>
              <w:jc w:val="left"/>
              <w:rPr>
                <w:szCs w:val="20"/>
              </w:rPr>
            </w:pPr>
            <w:r w:rsidRPr="00EC1A52">
              <w:rPr>
                <w:rFonts w:ascii="宋体" w:eastAsia="宋体" w:hAnsi="宋体" w:cs="宋体" w:hint="eastAsia"/>
                <w:szCs w:val="20"/>
              </w:rPr>
              <w:t>国际标准组织</w:t>
            </w:r>
            <w:r w:rsidR="00284695" w:rsidRPr="009A0AA3">
              <w:rPr>
                <w:rFonts w:ascii="Arial" w:eastAsia="Arial" w:hAnsi="Arial" w:cs="Arial"/>
                <w:szCs w:val="20"/>
              </w:rPr>
              <w:t>(ISO)</w:t>
            </w:r>
          </w:p>
        </w:tc>
        <w:tc>
          <w:tcPr>
            <w:tcW w:w="4840" w:type="dxa"/>
            <w:tcBorders>
              <w:top w:val="nil"/>
              <w:left w:val="nil"/>
              <w:bottom w:val="nil"/>
              <w:right w:val="nil"/>
            </w:tcBorders>
          </w:tcPr>
          <w:p w14:paraId="43A860F6" w14:textId="77777777" w:rsidR="0026097E" w:rsidRPr="009A0AA3" w:rsidRDefault="00284695">
            <w:pPr>
              <w:spacing w:after="0" w:line="259" w:lineRule="auto"/>
              <w:ind w:firstLine="0"/>
              <w:jc w:val="left"/>
              <w:rPr>
                <w:szCs w:val="20"/>
              </w:rPr>
            </w:pPr>
            <w:r w:rsidRPr="009A0AA3">
              <w:rPr>
                <w:rFonts w:ascii="Arial" w:eastAsia="Arial" w:hAnsi="Arial" w:cs="Arial"/>
                <w:szCs w:val="20"/>
              </w:rPr>
              <w:t>ISO 10993:1 (2009)</w:t>
            </w:r>
          </w:p>
          <w:p w14:paraId="2D9C975C" w14:textId="77777777" w:rsidR="0026097E" w:rsidRPr="009A0AA3" w:rsidRDefault="00284695">
            <w:pPr>
              <w:spacing w:after="0" w:line="259" w:lineRule="auto"/>
              <w:ind w:firstLine="0"/>
              <w:jc w:val="left"/>
              <w:rPr>
                <w:szCs w:val="20"/>
              </w:rPr>
            </w:pPr>
            <w:r w:rsidRPr="009A0AA3">
              <w:rPr>
                <w:rFonts w:ascii="Arial" w:eastAsia="Arial" w:hAnsi="Arial" w:cs="Arial"/>
                <w:szCs w:val="20"/>
              </w:rPr>
              <w:t>ISO 10993:17 (2002)</w:t>
            </w:r>
          </w:p>
        </w:tc>
      </w:tr>
      <w:tr w:rsidR="0026097E" w14:paraId="2C953D91" w14:textId="77777777" w:rsidTr="00EC1A52">
        <w:trPr>
          <w:trHeight w:val="542"/>
        </w:trPr>
        <w:tc>
          <w:tcPr>
            <w:tcW w:w="3025" w:type="dxa"/>
            <w:tcBorders>
              <w:top w:val="nil"/>
              <w:left w:val="nil"/>
              <w:bottom w:val="nil"/>
              <w:right w:val="nil"/>
            </w:tcBorders>
          </w:tcPr>
          <w:p w14:paraId="77813A44" w14:textId="71E06B05" w:rsidR="0026097E" w:rsidRPr="009A0AA3" w:rsidRDefault="00022A88">
            <w:pPr>
              <w:spacing w:after="0" w:line="259" w:lineRule="auto"/>
              <w:ind w:firstLine="0"/>
              <w:jc w:val="left"/>
              <w:rPr>
                <w:szCs w:val="20"/>
              </w:rPr>
            </w:pPr>
            <w:r w:rsidRPr="009A0AA3">
              <w:rPr>
                <w:rFonts w:ascii="宋体" w:eastAsia="宋体" w:hAnsi="宋体" w:cs="宋体" w:hint="eastAsia"/>
                <w:szCs w:val="20"/>
              </w:rPr>
              <w:t>植入物测试和评估</w:t>
            </w:r>
          </w:p>
        </w:tc>
        <w:tc>
          <w:tcPr>
            <w:tcW w:w="2552" w:type="dxa"/>
            <w:tcBorders>
              <w:top w:val="nil"/>
              <w:left w:val="nil"/>
              <w:bottom w:val="nil"/>
              <w:right w:val="nil"/>
            </w:tcBorders>
          </w:tcPr>
          <w:p w14:paraId="33A5381E" w14:textId="77777777" w:rsidR="0026097E" w:rsidRPr="009A0AA3" w:rsidRDefault="00284695">
            <w:pPr>
              <w:spacing w:after="0" w:line="259" w:lineRule="auto"/>
              <w:ind w:firstLine="0"/>
              <w:jc w:val="left"/>
              <w:rPr>
                <w:szCs w:val="20"/>
              </w:rPr>
            </w:pPr>
            <w:r w:rsidRPr="009A0AA3">
              <w:rPr>
                <w:rFonts w:ascii="Arial" w:eastAsia="Arial" w:hAnsi="Arial" w:cs="Arial"/>
                <w:szCs w:val="20"/>
              </w:rPr>
              <w:t>ASTM</w:t>
            </w:r>
          </w:p>
        </w:tc>
        <w:tc>
          <w:tcPr>
            <w:tcW w:w="4840" w:type="dxa"/>
            <w:tcBorders>
              <w:top w:val="nil"/>
              <w:left w:val="nil"/>
              <w:bottom w:val="nil"/>
              <w:right w:val="nil"/>
            </w:tcBorders>
          </w:tcPr>
          <w:p w14:paraId="39487AA1" w14:textId="577C8A74" w:rsidR="0026097E" w:rsidRPr="009A0AA3" w:rsidRDefault="00284695">
            <w:pPr>
              <w:spacing w:after="0" w:line="259" w:lineRule="auto"/>
              <w:ind w:firstLine="0"/>
              <w:jc w:val="left"/>
              <w:rPr>
                <w:szCs w:val="20"/>
              </w:rPr>
            </w:pPr>
            <w:r w:rsidRPr="009A0AA3">
              <w:rPr>
                <w:rFonts w:ascii="Arial" w:eastAsia="Arial" w:hAnsi="Arial" w:cs="Arial"/>
                <w:color w:val="C1151A"/>
                <w:szCs w:val="20"/>
              </w:rPr>
              <w:t>F763</w:t>
            </w:r>
            <w:r w:rsidR="00EC1A52">
              <w:rPr>
                <w:rFonts w:eastAsiaTheme="minorEastAsia" w:hint="eastAsia"/>
                <w:szCs w:val="20"/>
              </w:rPr>
              <w:t>、</w:t>
            </w:r>
            <w:r w:rsidRPr="009A0AA3">
              <w:rPr>
                <w:rFonts w:ascii="Arial" w:eastAsia="Arial" w:hAnsi="Arial" w:cs="Arial"/>
                <w:color w:val="C1151A"/>
                <w:szCs w:val="20"/>
              </w:rPr>
              <w:t>F981</w:t>
            </w:r>
            <w:r w:rsidR="00EC1A52">
              <w:rPr>
                <w:rFonts w:eastAsiaTheme="minorEastAsia" w:hint="eastAsia"/>
                <w:szCs w:val="20"/>
              </w:rPr>
              <w:t>、</w:t>
            </w:r>
            <w:r w:rsidRPr="009A0AA3">
              <w:rPr>
                <w:rFonts w:ascii="Arial" w:eastAsia="Arial" w:hAnsi="Arial" w:cs="Arial"/>
                <w:color w:val="C1151A"/>
                <w:szCs w:val="20"/>
              </w:rPr>
              <w:t>F1408</w:t>
            </w:r>
            <w:r w:rsidR="00EC1A52">
              <w:rPr>
                <w:rFonts w:eastAsiaTheme="minorEastAsia" w:hint="eastAsia"/>
                <w:szCs w:val="20"/>
              </w:rPr>
              <w:t>、</w:t>
            </w:r>
            <w:r w:rsidRPr="009A0AA3">
              <w:rPr>
                <w:rFonts w:ascii="Arial" w:eastAsia="Arial" w:hAnsi="Arial" w:cs="Arial"/>
                <w:color w:val="C1151A"/>
                <w:szCs w:val="20"/>
              </w:rPr>
              <w:t>F1439</w:t>
            </w:r>
            <w:r w:rsidR="00EC1A52">
              <w:rPr>
                <w:rFonts w:eastAsiaTheme="minorEastAsia" w:hint="eastAsia"/>
                <w:szCs w:val="20"/>
              </w:rPr>
              <w:t>、</w:t>
            </w:r>
            <w:r w:rsidRPr="009A0AA3">
              <w:rPr>
                <w:rFonts w:ascii="Arial" w:eastAsia="Arial" w:hAnsi="Arial" w:cs="Arial"/>
                <w:color w:val="C1151A"/>
                <w:szCs w:val="20"/>
              </w:rPr>
              <w:t>F1983</w:t>
            </w:r>
          </w:p>
        </w:tc>
      </w:tr>
      <w:tr w:rsidR="0026097E" w14:paraId="12A7AF96" w14:textId="77777777" w:rsidTr="00EC1A52">
        <w:trPr>
          <w:trHeight w:val="257"/>
        </w:trPr>
        <w:tc>
          <w:tcPr>
            <w:tcW w:w="3025" w:type="dxa"/>
            <w:tcBorders>
              <w:top w:val="nil"/>
              <w:left w:val="nil"/>
              <w:bottom w:val="nil"/>
              <w:right w:val="nil"/>
            </w:tcBorders>
          </w:tcPr>
          <w:p w14:paraId="7467BDA9" w14:textId="77777777" w:rsidR="0026097E" w:rsidRPr="009A0AA3" w:rsidRDefault="0026097E">
            <w:pPr>
              <w:spacing w:after="160" w:line="259" w:lineRule="auto"/>
              <w:ind w:firstLine="0"/>
              <w:jc w:val="left"/>
              <w:rPr>
                <w:szCs w:val="20"/>
              </w:rPr>
            </w:pPr>
          </w:p>
        </w:tc>
        <w:tc>
          <w:tcPr>
            <w:tcW w:w="2552" w:type="dxa"/>
            <w:tcBorders>
              <w:top w:val="nil"/>
              <w:left w:val="nil"/>
              <w:bottom w:val="nil"/>
              <w:right w:val="nil"/>
            </w:tcBorders>
          </w:tcPr>
          <w:p w14:paraId="4AE4025E" w14:textId="77777777" w:rsidR="0026097E" w:rsidRPr="009A0AA3" w:rsidRDefault="00284695">
            <w:pPr>
              <w:spacing w:after="0" w:line="259" w:lineRule="auto"/>
              <w:ind w:firstLine="0"/>
              <w:jc w:val="left"/>
              <w:rPr>
                <w:szCs w:val="20"/>
              </w:rPr>
            </w:pPr>
            <w:r w:rsidRPr="009A0AA3">
              <w:rPr>
                <w:rFonts w:ascii="Arial" w:eastAsia="Arial" w:hAnsi="Arial" w:cs="Arial"/>
                <w:szCs w:val="20"/>
              </w:rPr>
              <w:t>ISO</w:t>
            </w:r>
          </w:p>
        </w:tc>
        <w:tc>
          <w:tcPr>
            <w:tcW w:w="4840" w:type="dxa"/>
            <w:tcBorders>
              <w:top w:val="nil"/>
              <w:left w:val="nil"/>
              <w:bottom w:val="nil"/>
              <w:right w:val="nil"/>
            </w:tcBorders>
          </w:tcPr>
          <w:p w14:paraId="283BA14C" w14:textId="77777777" w:rsidR="0026097E" w:rsidRPr="009A0AA3" w:rsidRDefault="00284695">
            <w:pPr>
              <w:spacing w:after="0" w:line="259" w:lineRule="auto"/>
              <w:ind w:firstLine="0"/>
              <w:jc w:val="left"/>
              <w:rPr>
                <w:szCs w:val="20"/>
              </w:rPr>
            </w:pPr>
            <w:r w:rsidRPr="009A0AA3">
              <w:rPr>
                <w:rFonts w:ascii="Arial" w:eastAsia="Arial" w:hAnsi="Arial" w:cs="Arial"/>
                <w:szCs w:val="20"/>
              </w:rPr>
              <w:t>ISO 10993:6 (2016)</w:t>
            </w:r>
          </w:p>
        </w:tc>
      </w:tr>
      <w:tr w:rsidR="00022A88" w14:paraId="10B596D3" w14:textId="77777777" w:rsidTr="00EC1A52">
        <w:trPr>
          <w:trHeight w:val="400"/>
        </w:trPr>
        <w:tc>
          <w:tcPr>
            <w:tcW w:w="3025" w:type="dxa"/>
            <w:tcBorders>
              <w:top w:val="nil"/>
              <w:left w:val="nil"/>
              <w:bottom w:val="nil"/>
              <w:right w:val="nil"/>
            </w:tcBorders>
          </w:tcPr>
          <w:p w14:paraId="4607D234" w14:textId="7788AD3B" w:rsidR="00022A88" w:rsidRPr="009A0AA3" w:rsidRDefault="00022A88" w:rsidP="00022A88">
            <w:pPr>
              <w:spacing w:after="0" w:line="259" w:lineRule="auto"/>
              <w:ind w:firstLine="0"/>
              <w:jc w:val="left"/>
              <w:rPr>
                <w:szCs w:val="20"/>
              </w:rPr>
            </w:pPr>
            <w:r w:rsidRPr="009A0AA3">
              <w:rPr>
                <w:rFonts w:ascii="宋体" w:eastAsia="宋体" w:hAnsi="宋体" w:cs="宋体" w:hint="eastAsia"/>
                <w:szCs w:val="20"/>
              </w:rPr>
              <w:t>细胞毒性</w:t>
            </w:r>
          </w:p>
        </w:tc>
        <w:tc>
          <w:tcPr>
            <w:tcW w:w="2552" w:type="dxa"/>
            <w:tcBorders>
              <w:top w:val="nil"/>
              <w:left w:val="nil"/>
              <w:bottom w:val="nil"/>
              <w:right w:val="nil"/>
            </w:tcBorders>
          </w:tcPr>
          <w:p w14:paraId="3517DE06" w14:textId="77777777" w:rsidR="00022A88" w:rsidRPr="009A0AA3" w:rsidRDefault="00022A88" w:rsidP="00022A88">
            <w:pPr>
              <w:spacing w:after="0" w:line="259" w:lineRule="auto"/>
              <w:ind w:firstLine="0"/>
              <w:jc w:val="left"/>
              <w:rPr>
                <w:szCs w:val="20"/>
              </w:rPr>
            </w:pPr>
            <w:r w:rsidRPr="009A0AA3">
              <w:rPr>
                <w:rFonts w:ascii="Arial" w:eastAsia="Arial" w:hAnsi="Arial" w:cs="Arial"/>
                <w:szCs w:val="20"/>
              </w:rPr>
              <w:t>ASTM</w:t>
            </w:r>
          </w:p>
        </w:tc>
        <w:tc>
          <w:tcPr>
            <w:tcW w:w="4840" w:type="dxa"/>
            <w:tcBorders>
              <w:top w:val="nil"/>
              <w:left w:val="nil"/>
              <w:bottom w:val="nil"/>
              <w:right w:val="nil"/>
            </w:tcBorders>
            <w:vAlign w:val="center"/>
          </w:tcPr>
          <w:p w14:paraId="3ACE2030" w14:textId="13AF98D5" w:rsidR="00022A88" w:rsidRPr="009A0AA3" w:rsidRDefault="00022A88" w:rsidP="00022A88">
            <w:pPr>
              <w:spacing w:after="0" w:line="259" w:lineRule="auto"/>
              <w:ind w:firstLine="0"/>
              <w:jc w:val="left"/>
              <w:rPr>
                <w:szCs w:val="20"/>
              </w:rPr>
            </w:pPr>
            <w:r w:rsidRPr="009A0AA3">
              <w:rPr>
                <w:rFonts w:ascii="Arial" w:eastAsia="Arial" w:hAnsi="Arial" w:cs="Arial"/>
                <w:color w:val="C1151A"/>
                <w:szCs w:val="20"/>
              </w:rPr>
              <w:t>F756</w:t>
            </w:r>
            <w:r w:rsidR="00EC1A52">
              <w:rPr>
                <w:rFonts w:eastAsiaTheme="minorEastAsia" w:hint="eastAsia"/>
                <w:szCs w:val="20"/>
              </w:rPr>
              <w:t>、</w:t>
            </w:r>
            <w:r w:rsidRPr="009A0AA3">
              <w:rPr>
                <w:rFonts w:ascii="Arial" w:eastAsia="Arial" w:hAnsi="Arial" w:cs="Arial"/>
                <w:color w:val="C1151A"/>
                <w:szCs w:val="20"/>
              </w:rPr>
              <w:t>F813</w:t>
            </w:r>
            <w:r w:rsidR="00EC1A52">
              <w:rPr>
                <w:rFonts w:eastAsiaTheme="minorEastAsia" w:hint="eastAsia"/>
                <w:szCs w:val="20"/>
              </w:rPr>
              <w:t>、</w:t>
            </w:r>
            <w:r w:rsidRPr="009A0AA3">
              <w:rPr>
                <w:rFonts w:ascii="Arial" w:eastAsia="Arial" w:hAnsi="Arial" w:cs="Arial"/>
                <w:color w:val="C1151A"/>
                <w:szCs w:val="20"/>
              </w:rPr>
              <w:t>F895</w:t>
            </w:r>
          </w:p>
        </w:tc>
      </w:tr>
      <w:tr w:rsidR="00022A88" w14:paraId="7F6908EC" w14:textId="77777777" w:rsidTr="00EC1A52">
        <w:trPr>
          <w:trHeight w:val="342"/>
        </w:trPr>
        <w:tc>
          <w:tcPr>
            <w:tcW w:w="3025" w:type="dxa"/>
            <w:tcBorders>
              <w:top w:val="nil"/>
              <w:left w:val="nil"/>
              <w:bottom w:val="nil"/>
              <w:right w:val="nil"/>
            </w:tcBorders>
          </w:tcPr>
          <w:p w14:paraId="2167D7C6" w14:textId="054C2BDD" w:rsidR="00022A88" w:rsidRPr="009A0AA3" w:rsidRDefault="00022A88" w:rsidP="00022A88">
            <w:pPr>
              <w:spacing w:after="0" w:line="259" w:lineRule="auto"/>
              <w:ind w:firstLine="0"/>
              <w:jc w:val="left"/>
              <w:rPr>
                <w:szCs w:val="20"/>
              </w:rPr>
            </w:pPr>
            <w:r w:rsidRPr="009A0AA3">
              <w:rPr>
                <w:rFonts w:ascii="宋体" w:eastAsia="宋体" w:hAnsi="宋体" w:cs="宋体" w:hint="eastAsia"/>
                <w:szCs w:val="20"/>
              </w:rPr>
              <w:t>遗传毒性</w:t>
            </w:r>
          </w:p>
        </w:tc>
        <w:tc>
          <w:tcPr>
            <w:tcW w:w="2552" w:type="dxa"/>
            <w:tcBorders>
              <w:top w:val="nil"/>
              <w:left w:val="nil"/>
              <w:bottom w:val="nil"/>
              <w:right w:val="nil"/>
            </w:tcBorders>
            <w:vAlign w:val="center"/>
          </w:tcPr>
          <w:p w14:paraId="27CD8678" w14:textId="77777777" w:rsidR="00022A88" w:rsidRPr="009A0AA3" w:rsidRDefault="00022A88" w:rsidP="00022A88">
            <w:pPr>
              <w:spacing w:after="0" w:line="259" w:lineRule="auto"/>
              <w:ind w:firstLine="0"/>
              <w:jc w:val="left"/>
              <w:rPr>
                <w:szCs w:val="20"/>
              </w:rPr>
            </w:pPr>
            <w:r w:rsidRPr="009A0AA3">
              <w:rPr>
                <w:rFonts w:ascii="Arial" w:eastAsia="Arial" w:hAnsi="Arial" w:cs="Arial"/>
                <w:szCs w:val="20"/>
              </w:rPr>
              <w:t>ASTM</w:t>
            </w:r>
          </w:p>
        </w:tc>
        <w:tc>
          <w:tcPr>
            <w:tcW w:w="4840" w:type="dxa"/>
            <w:tcBorders>
              <w:top w:val="nil"/>
              <w:left w:val="nil"/>
              <w:bottom w:val="nil"/>
              <w:right w:val="nil"/>
            </w:tcBorders>
            <w:vAlign w:val="center"/>
          </w:tcPr>
          <w:p w14:paraId="12AC84A2" w14:textId="77777777" w:rsidR="00022A88" w:rsidRPr="009A0AA3" w:rsidRDefault="00022A88" w:rsidP="00022A88">
            <w:pPr>
              <w:spacing w:after="0" w:line="259" w:lineRule="auto"/>
              <w:ind w:firstLine="0"/>
              <w:jc w:val="left"/>
              <w:rPr>
                <w:szCs w:val="20"/>
              </w:rPr>
            </w:pPr>
            <w:r w:rsidRPr="009A0AA3">
              <w:rPr>
                <w:rFonts w:ascii="Arial" w:eastAsia="Arial" w:hAnsi="Arial" w:cs="Arial"/>
                <w:color w:val="C1151A"/>
                <w:szCs w:val="20"/>
              </w:rPr>
              <w:t>E1262</w:t>
            </w:r>
          </w:p>
        </w:tc>
      </w:tr>
      <w:tr w:rsidR="00022A88" w14:paraId="580E2CDA" w14:textId="77777777" w:rsidTr="00EC1A52">
        <w:trPr>
          <w:trHeight w:val="326"/>
        </w:trPr>
        <w:tc>
          <w:tcPr>
            <w:tcW w:w="3025" w:type="dxa"/>
            <w:tcBorders>
              <w:top w:val="nil"/>
              <w:left w:val="nil"/>
              <w:bottom w:val="nil"/>
              <w:right w:val="nil"/>
            </w:tcBorders>
          </w:tcPr>
          <w:p w14:paraId="7B885046" w14:textId="3F08F58B" w:rsidR="00022A88" w:rsidRPr="009A0AA3" w:rsidRDefault="00022A88" w:rsidP="00022A88">
            <w:pPr>
              <w:spacing w:after="0" w:line="259" w:lineRule="auto"/>
              <w:ind w:firstLine="0"/>
              <w:jc w:val="left"/>
              <w:rPr>
                <w:szCs w:val="20"/>
              </w:rPr>
            </w:pPr>
            <w:r w:rsidRPr="009A0AA3">
              <w:rPr>
                <w:rFonts w:ascii="宋体" w:eastAsia="宋体" w:hAnsi="宋体" w:cs="宋体" w:hint="eastAsia"/>
                <w:szCs w:val="20"/>
              </w:rPr>
              <w:t>皮肤危害</w:t>
            </w:r>
          </w:p>
        </w:tc>
        <w:tc>
          <w:tcPr>
            <w:tcW w:w="2552" w:type="dxa"/>
            <w:tcBorders>
              <w:top w:val="nil"/>
              <w:left w:val="nil"/>
              <w:bottom w:val="nil"/>
              <w:right w:val="nil"/>
            </w:tcBorders>
          </w:tcPr>
          <w:p w14:paraId="377C8817" w14:textId="77777777" w:rsidR="00022A88" w:rsidRPr="009A0AA3" w:rsidRDefault="00022A88" w:rsidP="00022A88">
            <w:pPr>
              <w:spacing w:after="0" w:line="259" w:lineRule="auto"/>
              <w:ind w:firstLine="0"/>
              <w:jc w:val="left"/>
              <w:rPr>
                <w:szCs w:val="20"/>
              </w:rPr>
            </w:pPr>
            <w:r w:rsidRPr="009A0AA3">
              <w:rPr>
                <w:rFonts w:ascii="Arial" w:eastAsia="Arial" w:hAnsi="Arial" w:cs="Arial"/>
                <w:szCs w:val="20"/>
              </w:rPr>
              <w:t>ASTM</w:t>
            </w:r>
          </w:p>
        </w:tc>
        <w:tc>
          <w:tcPr>
            <w:tcW w:w="4840" w:type="dxa"/>
            <w:tcBorders>
              <w:top w:val="nil"/>
              <w:left w:val="nil"/>
              <w:bottom w:val="nil"/>
              <w:right w:val="nil"/>
            </w:tcBorders>
          </w:tcPr>
          <w:p w14:paraId="08FFCAA7" w14:textId="432CB5CB" w:rsidR="00022A88" w:rsidRPr="009A0AA3" w:rsidRDefault="00022A88" w:rsidP="00022A88">
            <w:pPr>
              <w:spacing w:after="0" w:line="259" w:lineRule="auto"/>
              <w:ind w:firstLine="0"/>
              <w:jc w:val="left"/>
              <w:rPr>
                <w:szCs w:val="20"/>
              </w:rPr>
            </w:pPr>
            <w:r w:rsidRPr="009A0AA3">
              <w:rPr>
                <w:rFonts w:ascii="Arial" w:eastAsia="Arial" w:hAnsi="Arial" w:cs="Arial"/>
                <w:color w:val="C1151A"/>
                <w:szCs w:val="20"/>
              </w:rPr>
              <w:t>F719</w:t>
            </w:r>
            <w:r w:rsidR="00EC1A52">
              <w:rPr>
                <w:rFonts w:eastAsiaTheme="minorEastAsia" w:hint="eastAsia"/>
                <w:szCs w:val="20"/>
              </w:rPr>
              <w:t>、</w:t>
            </w:r>
            <w:r w:rsidRPr="009A0AA3">
              <w:rPr>
                <w:rFonts w:ascii="Arial" w:eastAsia="Arial" w:hAnsi="Arial" w:cs="Arial"/>
                <w:color w:val="C1151A"/>
                <w:szCs w:val="20"/>
              </w:rPr>
              <w:t>F1903</w:t>
            </w:r>
            <w:r w:rsidR="00EC1A52">
              <w:rPr>
                <w:rFonts w:eastAsiaTheme="minorEastAsia" w:hint="eastAsia"/>
                <w:szCs w:val="20"/>
              </w:rPr>
              <w:t>、</w:t>
            </w:r>
            <w:r w:rsidRPr="009A0AA3">
              <w:rPr>
                <w:rFonts w:ascii="Arial" w:eastAsia="Arial" w:hAnsi="Arial" w:cs="Arial"/>
                <w:color w:val="C1151A"/>
                <w:szCs w:val="20"/>
              </w:rPr>
              <w:t>F2808</w:t>
            </w:r>
          </w:p>
        </w:tc>
      </w:tr>
      <w:tr w:rsidR="0026097E" w14:paraId="0667C732" w14:textId="77777777" w:rsidTr="00EC1A52">
        <w:trPr>
          <w:trHeight w:val="257"/>
        </w:trPr>
        <w:tc>
          <w:tcPr>
            <w:tcW w:w="3025" w:type="dxa"/>
            <w:tcBorders>
              <w:top w:val="nil"/>
              <w:left w:val="nil"/>
              <w:bottom w:val="nil"/>
              <w:right w:val="nil"/>
            </w:tcBorders>
          </w:tcPr>
          <w:p w14:paraId="32DB8C46" w14:textId="77777777" w:rsidR="0026097E" w:rsidRPr="009A0AA3" w:rsidRDefault="0026097E">
            <w:pPr>
              <w:spacing w:after="160" w:line="259" w:lineRule="auto"/>
              <w:ind w:firstLine="0"/>
              <w:jc w:val="left"/>
              <w:rPr>
                <w:szCs w:val="20"/>
              </w:rPr>
            </w:pPr>
          </w:p>
        </w:tc>
        <w:tc>
          <w:tcPr>
            <w:tcW w:w="2552" w:type="dxa"/>
            <w:tcBorders>
              <w:top w:val="nil"/>
              <w:left w:val="nil"/>
              <w:bottom w:val="nil"/>
              <w:right w:val="nil"/>
            </w:tcBorders>
          </w:tcPr>
          <w:p w14:paraId="2BA1348B" w14:textId="77777777" w:rsidR="0026097E" w:rsidRPr="009A0AA3" w:rsidRDefault="00284695">
            <w:pPr>
              <w:spacing w:after="0" w:line="259" w:lineRule="auto"/>
              <w:ind w:firstLine="0"/>
              <w:jc w:val="left"/>
              <w:rPr>
                <w:szCs w:val="20"/>
              </w:rPr>
            </w:pPr>
            <w:r w:rsidRPr="009A0AA3">
              <w:rPr>
                <w:rFonts w:ascii="Arial" w:eastAsia="Arial" w:hAnsi="Arial" w:cs="Arial"/>
                <w:szCs w:val="20"/>
              </w:rPr>
              <w:t>ISO</w:t>
            </w:r>
          </w:p>
        </w:tc>
        <w:tc>
          <w:tcPr>
            <w:tcW w:w="4840" w:type="dxa"/>
            <w:tcBorders>
              <w:top w:val="nil"/>
              <w:left w:val="nil"/>
              <w:bottom w:val="nil"/>
              <w:right w:val="nil"/>
            </w:tcBorders>
          </w:tcPr>
          <w:p w14:paraId="62698D8A" w14:textId="77777777" w:rsidR="0026097E" w:rsidRPr="009A0AA3" w:rsidRDefault="00284695">
            <w:pPr>
              <w:spacing w:after="0" w:line="259" w:lineRule="auto"/>
              <w:ind w:firstLine="0"/>
              <w:jc w:val="left"/>
              <w:rPr>
                <w:szCs w:val="20"/>
              </w:rPr>
            </w:pPr>
            <w:r w:rsidRPr="009A0AA3">
              <w:rPr>
                <w:rFonts w:ascii="Arial" w:eastAsia="Arial" w:hAnsi="Arial" w:cs="Arial"/>
                <w:szCs w:val="20"/>
              </w:rPr>
              <w:t>ISO 10993-10 (2010)</w:t>
            </w:r>
          </w:p>
        </w:tc>
      </w:tr>
      <w:tr w:rsidR="00022A88" w14:paraId="3372DC9C" w14:textId="77777777" w:rsidTr="00EC1A52">
        <w:trPr>
          <w:trHeight w:val="342"/>
        </w:trPr>
        <w:tc>
          <w:tcPr>
            <w:tcW w:w="3025" w:type="dxa"/>
            <w:tcBorders>
              <w:top w:val="nil"/>
              <w:left w:val="nil"/>
              <w:bottom w:val="nil"/>
              <w:right w:val="nil"/>
            </w:tcBorders>
          </w:tcPr>
          <w:p w14:paraId="56517765" w14:textId="313D55F4" w:rsidR="00022A88" w:rsidRPr="009A0AA3" w:rsidRDefault="00022A88" w:rsidP="00022A88">
            <w:pPr>
              <w:spacing w:after="0" w:line="259" w:lineRule="auto"/>
              <w:ind w:firstLine="0"/>
              <w:jc w:val="left"/>
              <w:rPr>
                <w:szCs w:val="20"/>
              </w:rPr>
            </w:pPr>
            <w:r w:rsidRPr="009A0AA3">
              <w:rPr>
                <w:rFonts w:ascii="宋体" w:eastAsia="宋体" w:hAnsi="宋体" w:cs="宋体" w:hint="eastAsia"/>
                <w:szCs w:val="20"/>
              </w:rPr>
              <w:t>神经毒性</w:t>
            </w:r>
          </w:p>
        </w:tc>
        <w:tc>
          <w:tcPr>
            <w:tcW w:w="2552" w:type="dxa"/>
            <w:tcBorders>
              <w:top w:val="nil"/>
              <w:left w:val="nil"/>
              <w:bottom w:val="nil"/>
              <w:right w:val="nil"/>
            </w:tcBorders>
            <w:vAlign w:val="center"/>
          </w:tcPr>
          <w:p w14:paraId="0E5E3A4E" w14:textId="77777777" w:rsidR="00022A88" w:rsidRPr="009A0AA3" w:rsidRDefault="00022A88" w:rsidP="00022A88">
            <w:pPr>
              <w:spacing w:after="0" w:line="259" w:lineRule="auto"/>
              <w:ind w:firstLine="0"/>
              <w:jc w:val="left"/>
              <w:rPr>
                <w:szCs w:val="20"/>
              </w:rPr>
            </w:pPr>
            <w:r w:rsidRPr="009A0AA3">
              <w:rPr>
                <w:rFonts w:ascii="Arial" w:eastAsia="Arial" w:hAnsi="Arial" w:cs="Arial"/>
                <w:szCs w:val="20"/>
              </w:rPr>
              <w:t>ASTM</w:t>
            </w:r>
          </w:p>
        </w:tc>
        <w:tc>
          <w:tcPr>
            <w:tcW w:w="4840" w:type="dxa"/>
            <w:tcBorders>
              <w:top w:val="nil"/>
              <w:left w:val="nil"/>
              <w:bottom w:val="nil"/>
              <w:right w:val="nil"/>
            </w:tcBorders>
            <w:vAlign w:val="center"/>
          </w:tcPr>
          <w:p w14:paraId="4FEF894B" w14:textId="77777777" w:rsidR="00022A88" w:rsidRPr="009A0AA3" w:rsidRDefault="00022A88" w:rsidP="00022A88">
            <w:pPr>
              <w:spacing w:after="0" w:line="259" w:lineRule="auto"/>
              <w:ind w:firstLine="0"/>
              <w:jc w:val="left"/>
              <w:rPr>
                <w:szCs w:val="20"/>
              </w:rPr>
            </w:pPr>
            <w:r w:rsidRPr="009A0AA3">
              <w:rPr>
                <w:rFonts w:ascii="Arial" w:eastAsia="Arial" w:hAnsi="Arial" w:cs="Arial"/>
                <w:color w:val="C1151A"/>
                <w:szCs w:val="20"/>
              </w:rPr>
              <w:t>F2901</w:t>
            </w:r>
          </w:p>
        </w:tc>
      </w:tr>
      <w:tr w:rsidR="00022A88" w14:paraId="23CCBA3E" w14:textId="77777777" w:rsidTr="00EC1A52">
        <w:trPr>
          <w:trHeight w:val="257"/>
        </w:trPr>
        <w:tc>
          <w:tcPr>
            <w:tcW w:w="3025" w:type="dxa"/>
            <w:tcBorders>
              <w:top w:val="nil"/>
              <w:left w:val="nil"/>
              <w:bottom w:val="nil"/>
              <w:right w:val="nil"/>
            </w:tcBorders>
          </w:tcPr>
          <w:p w14:paraId="588628C2" w14:textId="2B7B7918" w:rsidR="00022A88" w:rsidRPr="009A0AA3" w:rsidRDefault="00022A88" w:rsidP="00022A88">
            <w:pPr>
              <w:spacing w:after="0" w:line="259" w:lineRule="auto"/>
              <w:ind w:firstLine="0"/>
              <w:jc w:val="left"/>
              <w:rPr>
                <w:szCs w:val="20"/>
              </w:rPr>
            </w:pPr>
            <w:r w:rsidRPr="009A0AA3">
              <w:rPr>
                <w:rFonts w:ascii="宋体" w:eastAsia="宋体" w:hAnsi="宋体" w:cs="宋体" w:hint="eastAsia"/>
                <w:szCs w:val="20"/>
              </w:rPr>
              <w:t>全身毒性</w:t>
            </w:r>
          </w:p>
        </w:tc>
        <w:tc>
          <w:tcPr>
            <w:tcW w:w="2552" w:type="dxa"/>
            <w:tcBorders>
              <w:top w:val="nil"/>
              <w:left w:val="nil"/>
              <w:bottom w:val="nil"/>
              <w:right w:val="nil"/>
            </w:tcBorders>
          </w:tcPr>
          <w:p w14:paraId="2DD67D62" w14:textId="77777777" w:rsidR="00022A88" w:rsidRPr="009A0AA3" w:rsidRDefault="00022A88" w:rsidP="00022A88">
            <w:pPr>
              <w:spacing w:after="0" w:line="259" w:lineRule="auto"/>
              <w:ind w:firstLine="0"/>
              <w:jc w:val="left"/>
              <w:rPr>
                <w:szCs w:val="20"/>
              </w:rPr>
            </w:pPr>
            <w:r w:rsidRPr="009A0AA3">
              <w:rPr>
                <w:rFonts w:ascii="Arial" w:eastAsia="Arial" w:hAnsi="Arial" w:cs="Arial"/>
                <w:szCs w:val="20"/>
              </w:rPr>
              <w:t>ASTM</w:t>
            </w:r>
          </w:p>
        </w:tc>
        <w:tc>
          <w:tcPr>
            <w:tcW w:w="4840" w:type="dxa"/>
            <w:tcBorders>
              <w:top w:val="nil"/>
              <w:left w:val="nil"/>
              <w:bottom w:val="nil"/>
              <w:right w:val="nil"/>
            </w:tcBorders>
          </w:tcPr>
          <w:p w14:paraId="1894E974" w14:textId="77777777" w:rsidR="00022A88" w:rsidRPr="009A0AA3" w:rsidRDefault="00022A88" w:rsidP="00022A88">
            <w:pPr>
              <w:spacing w:after="0" w:line="259" w:lineRule="auto"/>
              <w:ind w:firstLine="0"/>
              <w:jc w:val="left"/>
              <w:rPr>
                <w:szCs w:val="20"/>
              </w:rPr>
            </w:pPr>
            <w:r w:rsidRPr="009A0AA3">
              <w:rPr>
                <w:rFonts w:ascii="Arial" w:eastAsia="Arial" w:hAnsi="Arial" w:cs="Arial"/>
                <w:color w:val="C1151A"/>
                <w:szCs w:val="20"/>
              </w:rPr>
              <w:t>F750</w:t>
            </w:r>
          </w:p>
        </w:tc>
      </w:tr>
      <w:tr w:rsidR="00022A88" w14:paraId="0B2A147C" w14:textId="77777777" w:rsidTr="00EC1A52">
        <w:trPr>
          <w:trHeight w:val="257"/>
        </w:trPr>
        <w:tc>
          <w:tcPr>
            <w:tcW w:w="3025" w:type="dxa"/>
            <w:tcBorders>
              <w:top w:val="nil"/>
              <w:left w:val="nil"/>
              <w:bottom w:val="nil"/>
              <w:right w:val="nil"/>
            </w:tcBorders>
          </w:tcPr>
          <w:p w14:paraId="0011B1B9" w14:textId="77777777" w:rsidR="00022A88" w:rsidRPr="009A0AA3" w:rsidRDefault="00022A88" w:rsidP="00022A88">
            <w:pPr>
              <w:spacing w:after="160" w:line="259" w:lineRule="auto"/>
              <w:ind w:firstLine="0"/>
              <w:jc w:val="left"/>
              <w:rPr>
                <w:szCs w:val="20"/>
              </w:rPr>
            </w:pPr>
          </w:p>
        </w:tc>
        <w:tc>
          <w:tcPr>
            <w:tcW w:w="2552" w:type="dxa"/>
            <w:tcBorders>
              <w:top w:val="nil"/>
              <w:left w:val="nil"/>
              <w:bottom w:val="nil"/>
              <w:right w:val="nil"/>
            </w:tcBorders>
          </w:tcPr>
          <w:p w14:paraId="41DBA77A" w14:textId="77777777" w:rsidR="00022A88" w:rsidRPr="009A0AA3" w:rsidRDefault="00022A88" w:rsidP="00022A88">
            <w:pPr>
              <w:spacing w:after="0" w:line="259" w:lineRule="auto"/>
              <w:ind w:firstLine="0"/>
              <w:jc w:val="left"/>
              <w:rPr>
                <w:szCs w:val="20"/>
              </w:rPr>
            </w:pPr>
            <w:r w:rsidRPr="009A0AA3">
              <w:rPr>
                <w:rFonts w:ascii="Arial" w:eastAsia="Arial" w:hAnsi="Arial" w:cs="Arial"/>
                <w:szCs w:val="20"/>
              </w:rPr>
              <w:t>ISO</w:t>
            </w:r>
          </w:p>
        </w:tc>
        <w:tc>
          <w:tcPr>
            <w:tcW w:w="4840" w:type="dxa"/>
            <w:tcBorders>
              <w:top w:val="nil"/>
              <w:left w:val="nil"/>
              <w:bottom w:val="nil"/>
              <w:right w:val="nil"/>
            </w:tcBorders>
          </w:tcPr>
          <w:p w14:paraId="22B4BFAD" w14:textId="77777777" w:rsidR="00022A88" w:rsidRPr="009A0AA3" w:rsidRDefault="00022A88" w:rsidP="00022A88">
            <w:pPr>
              <w:spacing w:after="0" w:line="259" w:lineRule="auto"/>
              <w:ind w:firstLine="0"/>
              <w:jc w:val="left"/>
              <w:rPr>
                <w:szCs w:val="20"/>
              </w:rPr>
            </w:pPr>
            <w:r w:rsidRPr="009A0AA3">
              <w:rPr>
                <w:rFonts w:ascii="Arial" w:eastAsia="Arial" w:hAnsi="Arial" w:cs="Arial"/>
                <w:szCs w:val="20"/>
              </w:rPr>
              <w:t>ISO 10993-11 (2017b)</w:t>
            </w:r>
          </w:p>
        </w:tc>
      </w:tr>
      <w:tr w:rsidR="00022A88" w14:paraId="2695D66C" w14:textId="77777777" w:rsidTr="00EC1A52">
        <w:trPr>
          <w:trHeight w:val="428"/>
        </w:trPr>
        <w:tc>
          <w:tcPr>
            <w:tcW w:w="3025" w:type="dxa"/>
            <w:tcBorders>
              <w:top w:val="nil"/>
              <w:left w:val="nil"/>
              <w:bottom w:val="nil"/>
              <w:right w:val="nil"/>
            </w:tcBorders>
          </w:tcPr>
          <w:p w14:paraId="68609B35" w14:textId="70A874A6" w:rsidR="00022A88" w:rsidRPr="009A0AA3" w:rsidRDefault="00022A88" w:rsidP="00022A88">
            <w:pPr>
              <w:spacing w:after="0" w:line="259" w:lineRule="auto"/>
              <w:ind w:firstLine="0"/>
              <w:jc w:val="left"/>
              <w:rPr>
                <w:szCs w:val="20"/>
              </w:rPr>
            </w:pPr>
            <w:r w:rsidRPr="009A0AA3">
              <w:rPr>
                <w:rFonts w:ascii="宋体" w:eastAsia="宋体" w:hAnsi="宋体" w:cs="宋体" w:hint="eastAsia"/>
                <w:szCs w:val="20"/>
              </w:rPr>
              <w:t>与血液的相互作用</w:t>
            </w:r>
          </w:p>
        </w:tc>
        <w:tc>
          <w:tcPr>
            <w:tcW w:w="2552" w:type="dxa"/>
            <w:tcBorders>
              <w:top w:val="nil"/>
              <w:left w:val="nil"/>
              <w:bottom w:val="nil"/>
              <w:right w:val="nil"/>
            </w:tcBorders>
            <w:vAlign w:val="center"/>
          </w:tcPr>
          <w:p w14:paraId="5D2F2901" w14:textId="77777777" w:rsidR="00022A88" w:rsidRPr="009A0AA3" w:rsidRDefault="00022A88" w:rsidP="00022A88">
            <w:pPr>
              <w:spacing w:after="0" w:line="259" w:lineRule="auto"/>
              <w:ind w:firstLine="0"/>
              <w:jc w:val="left"/>
              <w:rPr>
                <w:szCs w:val="20"/>
              </w:rPr>
            </w:pPr>
            <w:r w:rsidRPr="009A0AA3">
              <w:rPr>
                <w:rFonts w:ascii="Arial" w:eastAsia="Arial" w:hAnsi="Arial" w:cs="Arial"/>
                <w:szCs w:val="20"/>
              </w:rPr>
              <w:t>ASTM</w:t>
            </w:r>
          </w:p>
        </w:tc>
        <w:tc>
          <w:tcPr>
            <w:tcW w:w="4840" w:type="dxa"/>
            <w:tcBorders>
              <w:top w:val="nil"/>
              <w:left w:val="nil"/>
              <w:bottom w:val="nil"/>
              <w:right w:val="nil"/>
            </w:tcBorders>
          </w:tcPr>
          <w:p w14:paraId="7544E2A7" w14:textId="77777777" w:rsidR="00022A88" w:rsidRPr="009A0AA3" w:rsidRDefault="00022A88" w:rsidP="00022A88">
            <w:pPr>
              <w:spacing w:after="0" w:line="259" w:lineRule="auto"/>
              <w:ind w:firstLine="0"/>
              <w:jc w:val="left"/>
              <w:rPr>
                <w:szCs w:val="20"/>
              </w:rPr>
            </w:pPr>
            <w:r w:rsidRPr="009A0AA3">
              <w:rPr>
                <w:rFonts w:ascii="Arial" w:eastAsia="Arial" w:hAnsi="Arial" w:cs="Arial"/>
                <w:color w:val="C1151A"/>
                <w:szCs w:val="20"/>
              </w:rPr>
              <w:t>F2382</w:t>
            </w:r>
          </w:p>
          <w:p w14:paraId="6EB811F5" w14:textId="77777777" w:rsidR="00022A88" w:rsidRPr="009A0AA3" w:rsidRDefault="00022A88" w:rsidP="00022A88">
            <w:pPr>
              <w:spacing w:after="0" w:line="259" w:lineRule="auto"/>
              <w:ind w:firstLine="0"/>
              <w:jc w:val="left"/>
              <w:rPr>
                <w:szCs w:val="20"/>
              </w:rPr>
            </w:pPr>
            <w:r w:rsidRPr="009A0AA3">
              <w:rPr>
                <w:rFonts w:ascii="Arial" w:eastAsia="Arial" w:hAnsi="Arial" w:cs="Arial"/>
                <w:color w:val="C1151A"/>
                <w:szCs w:val="20"/>
              </w:rPr>
              <w:t>F2888</w:t>
            </w:r>
          </w:p>
        </w:tc>
      </w:tr>
      <w:tr w:rsidR="0026097E" w14:paraId="48567546" w14:textId="77777777" w:rsidTr="00EC1A52">
        <w:trPr>
          <w:trHeight w:val="191"/>
        </w:trPr>
        <w:tc>
          <w:tcPr>
            <w:tcW w:w="3025" w:type="dxa"/>
            <w:tcBorders>
              <w:top w:val="nil"/>
              <w:left w:val="nil"/>
              <w:bottom w:val="single" w:sz="8" w:space="0" w:color="221F1F"/>
              <w:right w:val="nil"/>
            </w:tcBorders>
          </w:tcPr>
          <w:p w14:paraId="5D4FAECC" w14:textId="77777777" w:rsidR="0026097E" w:rsidRPr="009A0AA3" w:rsidRDefault="0026097E">
            <w:pPr>
              <w:spacing w:after="160" w:line="259" w:lineRule="auto"/>
              <w:ind w:firstLine="0"/>
              <w:jc w:val="left"/>
              <w:rPr>
                <w:szCs w:val="20"/>
              </w:rPr>
            </w:pPr>
          </w:p>
        </w:tc>
        <w:tc>
          <w:tcPr>
            <w:tcW w:w="2552" w:type="dxa"/>
            <w:tcBorders>
              <w:top w:val="nil"/>
              <w:left w:val="nil"/>
              <w:bottom w:val="single" w:sz="8" w:space="0" w:color="221F1F"/>
              <w:right w:val="nil"/>
            </w:tcBorders>
          </w:tcPr>
          <w:p w14:paraId="54F19F7A" w14:textId="77777777" w:rsidR="0026097E" w:rsidRPr="009A0AA3" w:rsidRDefault="00284695">
            <w:pPr>
              <w:spacing w:after="0" w:line="259" w:lineRule="auto"/>
              <w:ind w:firstLine="0"/>
              <w:jc w:val="left"/>
              <w:rPr>
                <w:szCs w:val="20"/>
              </w:rPr>
            </w:pPr>
            <w:r w:rsidRPr="009A0AA3">
              <w:rPr>
                <w:rFonts w:ascii="Arial" w:eastAsia="Arial" w:hAnsi="Arial" w:cs="Arial"/>
                <w:szCs w:val="20"/>
              </w:rPr>
              <w:t>ISO</w:t>
            </w:r>
          </w:p>
        </w:tc>
        <w:tc>
          <w:tcPr>
            <w:tcW w:w="4840" w:type="dxa"/>
            <w:tcBorders>
              <w:top w:val="nil"/>
              <w:left w:val="nil"/>
              <w:bottom w:val="single" w:sz="8" w:space="0" w:color="221F1F"/>
              <w:right w:val="nil"/>
            </w:tcBorders>
          </w:tcPr>
          <w:p w14:paraId="547FDD37" w14:textId="77777777" w:rsidR="0026097E" w:rsidRPr="009A0AA3" w:rsidRDefault="00284695">
            <w:pPr>
              <w:spacing w:after="0" w:line="259" w:lineRule="auto"/>
              <w:ind w:firstLine="0"/>
              <w:jc w:val="left"/>
              <w:rPr>
                <w:szCs w:val="20"/>
              </w:rPr>
            </w:pPr>
            <w:r w:rsidRPr="009A0AA3">
              <w:rPr>
                <w:rFonts w:ascii="Arial" w:eastAsia="Arial" w:hAnsi="Arial" w:cs="Arial"/>
                <w:szCs w:val="20"/>
              </w:rPr>
              <w:t>ISO 10993-4 (2017a)</w:t>
            </w:r>
          </w:p>
        </w:tc>
      </w:tr>
    </w:tbl>
    <w:p w14:paraId="46F83B47" w14:textId="77777777" w:rsidR="009A0AA3" w:rsidRDefault="009A0AA3" w:rsidP="009A0AA3">
      <w:pPr>
        <w:ind w:firstLineChars="2200" w:firstLine="4417"/>
        <w:rPr>
          <w:rFonts w:ascii="宋体" w:eastAsia="宋体" w:hAnsi="宋体" w:cs="宋体"/>
          <w:b/>
        </w:rPr>
      </w:pPr>
    </w:p>
    <w:p w14:paraId="52CD20E0" w14:textId="77777777" w:rsidR="0026097E" w:rsidRDefault="00022A88" w:rsidP="009A0AA3">
      <w:pPr>
        <w:ind w:firstLineChars="2200" w:firstLine="4417"/>
        <w:rPr>
          <w:rFonts w:ascii="宋体" w:eastAsia="宋体" w:hAnsi="宋体" w:cs="宋体"/>
          <w:b/>
        </w:rPr>
      </w:pPr>
      <w:r w:rsidRPr="00022A88">
        <w:rPr>
          <w:rFonts w:ascii="宋体" w:eastAsia="宋体" w:hAnsi="宋体" w:cs="宋体" w:hint="eastAsia"/>
          <w:b/>
        </w:rPr>
        <w:lastRenderedPageBreak/>
        <w:t>参考资料</w:t>
      </w:r>
    </w:p>
    <w:p w14:paraId="40D3049D" w14:textId="77777777" w:rsidR="00EC1A52" w:rsidRDefault="00EC1A52" w:rsidP="00EC1A52">
      <w:pPr>
        <w:spacing w:after="13" w:line="256" w:lineRule="auto"/>
        <w:ind w:left="452" w:hanging="452"/>
        <w:jc w:val="left"/>
        <w:rPr>
          <w:rFonts w:ascii="宋体" w:eastAsia="宋体" w:hAnsi="宋体"/>
          <w:b/>
          <w:bCs/>
          <w:color w:val="FF0000"/>
          <w:kern w:val="0"/>
          <w:szCs w:val="20"/>
        </w:rPr>
        <w:sectPr w:rsidR="00EC1A52" w:rsidSect="00EC1A52">
          <w:footerReference w:type="default" r:id="rId23"/>
          <w:type w:val="continuous"/>
          <w:pgSz w:w="11674" w:h="15625"/>
          <w:pgMar w:top="1188" w:right="192" w:bottom="5709" w:left="818" w:header="720" w:footer="720" w:gutter="0"/>
          <w:cols w:space="720"/>
        </w:sectPr>
      </w:pPr>
    </w:p>
    <w:p w14:paraId="3C745980" w14:textId="2C1871D0" w:rsidR="00EC1A52" w:rsidRPr="008E2B3B" w:rsidRDefault="00EC1A52" w:rsidP="00EC1A52">
      <w:pPr>
        <w:spacing w:after="13" w:line="256" w:lineRule="auto"/>
        <w:ind w:left="452" w:hanging="452"/>
        <w:jc w:val="left"/>
        <w:rPr>
          <w:rFonts w:eastAsia="宋体"/>
          <w:kern w:val="0"/>
          <w:szCs w:val="20"/>
        </w:rPr>
      </w:pPr>
      <w:r w:rsidRPr="00EC1A52">
        <w:rPr>
          <w:rFonts w:ascii="宋体" w:eastAsia="宋体" w:hAnsi="宋体"/>
          <w:b/>
          <w:bCs/>
          <w:color w:val="FF0000"/>
          <w:kern w:val="0"/>
          <w:szCs w:val="20"/>
        </w:rPr>
        <w:t xml:space="preserve">（1） </w:t>
      </w:r>
      <w:proofErr w:type="spellStart"/>
      <w:r w:rsidRPr="008E2B3B">
        <w:rPr>
          <w:rFonts w:eastAsia="宋体"/>
          <w:kern w:val="0"/>
          <w:szCs w:val="20"/>
        </w:rPr>
        <w:t>Kerlin</w:t>
      </w:r>
      <w:proofErr w:type="spellEnd"/>
      <w:r w:rsidRPr="008E2B3B">
        <w:rPr>
          <w:rFonts w:eastAsia="宋体"/>
          <w:kern w:val="0"/>
          <w:szCs w:val="20"/>
        </w:rPr>
        <w:t>，</w:t>
      </w:r>
      <w:r w:rsidRPr="008E2B3B">
        <w:rPr>
          <w:rFonts w:eastAsia="宋体"/>
          <w:kern w:val="0"/>
          <w:szCs w:val="20"/>
        </w:rPr>
        <w:t xml:space="preserve"> R. </w:t>
      </w:r>
      <w:r w:rsidRPr="008E2B3B">
        <w:rPr>
          <w:rFonts w:eastAsia="宋体"/>
          <w:kern w:val="0"/>
          <w:szCs w:val="20"/>
        </w:rPr>
        <w:t>等人，</w:t>
      </w:r>
      <w:r w:rsidRPr="008E2B3B">
        <w:rPr>
          <w:rFonts w:eastAsia="宋体"/>
          <w:kern w:val="0"/>
          <w:szCs w:val="20"/>
        </w:rPr>
        <w:t>"</w:t>
      </w:r>
      <w:r w:rsidRPr="008E2B3B">
        <w:rPr>
          <w:rFonts w:eastAsia="宋体"/>
          <w:kern w:val="0"/>
          <w:szCs w:val="20"/>
        </w:rPr>
        <w:t>科学和监管政策委员会：推荐（</w:t>
      </w:r>
      <w:r w:rsidRPr="008E2B3B">
        <w:rPr>
          <w:rFonts w:eastAsia="宋体"/>
          <w:kern w:val="0"/>
          <w:szCs w:val="20"/>
        </w:rPr>
        <w:t>"</w:t>
      </w:r>
      <w:r w:rsidRPr="008E2B3B">
        <w:rPr>
          <w:rFonts w:eastAsia="宋体"/>
          <w:kern w:val="0"/>
          <w:szCs w:val="20"/>
        </w:rPr>
        <w:t>最佳</w:t>
      </w:r>
      <w:r w:rsidRPr="008E2B3B">
        <w:rPr>
          <w:rFonts w:eastAsia="宋体"/>
          <w:kern w:val="0"/>
          <w:szCs w:val="20"/>
        </w:rPr>
        <w:t>"</w:t>
      </w:r>
      <w:r w:rsidRPr="008E2B3B">
        <w:rPr>
          <w:rFonts w:eastAsia="宋体"/>
          <w:kern w:val="0"/>
          <w:szCs w:val="20"/>
        </w:rPr>
        <w:t>）非临床研究不良反应数据的确定、沟通和使用实践，</w:t>
      </w:r>
      <w:r w:rsidRPr="008E2B3B">
        <w:rPr>
          <w:rFonts w:eastAsia="宋体"/>
          <w:kern w:val="0"/>
          <w:szCs w:val="20"/>
        </w:rPr>
        <w:t>"</w:t>
      </w:r>
      <w:r w:rsidRPr="008E2B3B">
        <w:rPr>
          <w:rFonts w:eastAsia="宋体"/>
          <w:kern w:val="0"/>
          <w:szCs w:val="20"/>
        </w:rPr>
        <w:t>毒物病理学，第</w:t>
      </w:r>
      <w:r w:rsidRPr="008E2B3B">
        <w:rPr>
          <w:rFonts w:eastAsia="宋体"/>
          <w:kern w:val="0"/>
          <w:szCs w:val="20"/>
        </w:rPr>
        <w:t>44</w:t>
      </w:r>
      <w:r w:rsidRPr="008E2B3B">
        <w:rPr>
          <w:rFonts w:eastAsia="宋体"/>
          <w:kern w:val="0"/>
          <w:szCs w:val="20"/>
        </w:rPr>
        <w:t>卷，第</w:t>
      </w:r>
      <w:r w:rsidRPr="008E2B3B">
        <w:rPr>
          <w:rFonts w:eastAsia="宋体"/>
          <w:kern w:val="0"/>
          <w:szCs w:val="20"/>
        </w:rPr>
        <w:t>2</w:t>
      </w:r>
      <w:r w:rsidRPr="008E2B3B">
        <w:rPr>
          <w:rFonts w:eastAsia="宋体"/>
          <w:kern w:val="0"/>
          <w:szCs w:val="20"/>
        </w:rPr>
        <w:t>号，</w:t>
      </w:r>
      <w:r w:rsidRPr="008E2B3B">
        <w:rPr>
          <w:rFonts w:eastAsia="宋体"/>
          <w:kern w:val="0"/>
          <w:szCs w:val="20"/>
        </w:rPr>
        <w:t>2016</w:t>
      </w:r>
      <w:r w:rsidRPr="008E2B3B">
        <w:rPr>
          <w:rFonts w:eastAsia="宋体"/>
          <w:kern w:val="0"/>
          <w:szCs w:val="20"/>
        </w:rPr>
        <w:t>年，第</w:t>
      </w:r>
      <w:r w:rsidRPr="008E2B3B">
        <w:rPr>
          <w:rFonts w:eastAsia="宋体"/>
          <w:kern w:val="0"/>
          <w:szCs w:val="20"/>
        </w:rPr>
        <w:t>147-162</w:t>
      </w:r>
      <w:r w:rsidRPr="008E2B3B">
        <w:rPr>
          <w:rFonts w:eastAsia="宋体"/>
          <w:kern w:val="0"/>
          <w:szCs w:val="20"/>
        </w:rPr>
        <w:t>页。</w:t>
      </w:r>
    </w:p>
    <w:p w14:paraId="569A626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Palazzi</w:t>
      </w:r>
      <w:r w:rsidRPr="008E2B3B">
        <w:rPr>
          <w:rFonts w:eastAsia="宋体"/>
          <w:kern w:val="0"/>
          <w:szCs w:val="20"/>
        </w:rPr>
        <w:t>，</w:t>
      </w:r>
      <w:r w:rsidRPr="008E2B3B">
        <w:rPr>
          <w:rFonts w:eastAsia="宋体"/>
          <w:kern w:val="0"/>
          <w:szCs w:val="20"/>
        </w:rPr>
        <w:t>X.</w:t>
      </w:r>
      <w:r w:rsidRPr="008E2B3B">
        <w:rPr>
          <w:rFonts w:eastAsia="宋体"/>
          <w:kern w:val="0"/>
          <w:szCs w:val="20"/>
        </w:rPr>
        <w:t>等人，</w:t>
      </w:r>
      <w:r w:rsidRPr="008E2B3B">
        <w:rPr>
          <w:rFonts w:eastAsia="宋体"/>
          <w:kern w:val="0"/>
          <w:szCs w:val="20"/>
        </w:rPr>
        <w:t>"</w:t>
      </w:r>
      <w:r w:rsidRPr="008E2B3B">
        <w:rPr>
          <w:rFonts w:eastAsia="宋体"/>
          <w:kern w:val="0"/>
          <w:szCs w:val="20"/>
        </w:rPr>
        <w:t>非临床毒性研究中病理学发现</w:t>
      </w:r>
      <w:r w:rsidRPr="008E2B3B">
        <w:rPr>
          <w:rFonts w:eastAsia="宋体"/>
          <w:kern w:val="0"/>
          <w:szCs w:val="20"/>
        </w:rPr>
        <w:t>"</w:t>
      </w:r>
      <w:r w:rsidRPr="008E2B3B">
        <w:rPr>
          <w:rFonts w:eastAsia="宋体"/>
          <w:kern w:val="0"/>
          <w:szCs w:val="20"/>
        </w:rPr>
        <w:t>的</w:t>
      </w:r>
      <w:r w:rsidRPr="008E2B3B">
        <w:rPr>
          <w:rFonts w:eastAsia="宋体"/>
          <w:kern w:val="0"/>
          <w:szCs w:val="20"/>
        </w:rPr>
        <w:t>"</w:t>
      </w:r>
      <w:r w:rsidRPr="008E2B3B">
        <w:rPr>
          <w:rFonts w:eastAsia="宋体"/>
          <w:kern w:val="0"/>
          <w:szCs w:val="20"/>
        </w:rPr>
        <w:t>描述性</w:t>
      </w:r>
      <w:r w:rsidRPr="008E2B3B">
        <w:rPr>
          <w:rFonts w:eastAsia="宋体"/>
          <w:kern w:val="0"/>
          <w:szCs w:val="20"/>
        </w:rPr>
        <w:t>"</w:t>
      </w:r>
      <w:r w:rsidRPr="008E2B3B">
        <w:rPr>
          <w:rFonts w:eastAsia="宋体"/>
          <w:kern w:val="0"/>
          <w:szCs w:val="20"/>
        </w:rPr>
        <w:t>：第四届</w:t>
      </w:r>
      <w:r w:rsidRPr="008E2B3B">
        <w:rPr>
          <w:rFonts w:eastAsia="宋体"/>
          <w:kern w:val="0"/>
          <w:szCs w:val="20"/>
        </w:rPr>
        <w:t>ESTP</w:t>
      </w:r>
      <w:r w:rsidRPr="008E2B3B">
        <w:rPr>
          <w:rFonts w:eastAsia="宋体"/>
          <w:kern w:val="0"/>
          <w:szCs w:val="20"/>
        </w:rPr>
        <w:t>国际专家研讨会的结果，</w:t>
      </w:r>
      <w:r w:rsidRPr="008E2B3B">
        <w:rPr>
          <w:rFonts w:eastAsia="宋体"/>
          <w:kern w:val="0"/>
          <w:szCs w:val="20"/>
        </w:rPr>
        <w:t>"</w:t>
      </w:r>
      <w:r w:rsidRPr="008E2B3B">
        <w:rPr>
          <w:rFonts w:eastAsia="宋体"/>
          <w:kern w:val="0"/>
          <w:szCs w:val="20"/>
        </w:rPr>
        <w:t>毒理病理学，第</w:t>
      </w:r>
      <w:r w:rsidRPr="008E2B3B">
        <w:rPr>
          <w:rFonts w:eastAsia="宋体"/>
          <w:kern w:val="0"/>
          <w:szCs w:val="20"/>
        </w:rPr>
        <w:t>44</w:t>
      </w:r>
      <w:r w:rsidRPr="008E2B3B">
        <w:rPr>
          <w:rFonts w:eastAsia="宋体"/>
          <w:kern w:val="0"/>
          <w:szCs w:val="20"/>
        </w:rPr>
        <w:t>卷，第</w:t>
      </w:r>
      <w:r w:rsidRPr="008E2B3B">
        <w:rPr>
          <w:rFonts w:eastAsia="宋体"/>
          <w:kern w:val="0"/>
          <w:szCs w:val="20"/>
        </w:rPr>
        <w:t>6</w:t>
      </w:r>
      <w:r w:rsidRPr="008E2B3B">
        <w:rPr>
          <w:rFonts w:eastAsia="宋体"/>
          <w:kern w:val="0"/>
          <w:szCs w:val="20"/>
        </w:rPr>
        <w:t>号，</w:t>
      </w:r>
      <w:r w:rsidRPr="008E2B3B">
        <w:rPr>
          <w:rFonts w:eastAsia="宋体"/>
          <w:kern w:val="0"/>
          <w:szCs w:val="20"/>
        </w:rPr>
        <w:t>2016</w:t>
      </w:r>
      <w:r w:rsidRPr="008E2B3B">
        <w:rPr>
          <w:rFonts w:eastAsia="宋体"/>
          <w:kern w:val="0"/>
          <w:szCs w:val="20"/>
        </w:rPr>
        <w:t>年，第</w:t>
      </w:r>
      <w:r w:rsidRPr="008E2B3B">
        <w:rPr>
          <w:rFonts w:eastAsia="宋体"/>
          <w:kern w:val="0"/>
          <w:szCs w:val="20"/>
        </w:rPr>
        <w:t>810-824</w:t>
      </w:r>
      <w:r w:rsidRPr="008E2B3B">
        <w:rPr>
          <w:rFonts w:eastAsia="宋体"/>
          <w:kern w:val="0"/>
          <w:szCs w:val="20"/>
        </w:rPr>
        <w:t>页。</w:t>
      </w:r>
    </w:p>
    <w:p w14:paraId="7BBF1B7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3</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Pandiri</w:t>
      </w:r>
      <w:proofErr w:type="spellEnd"/>
      <w:r w:rsidRPr="008E2B3B">
        <w:rPr>
          <w:rFonts w:eastAsia="宋体"/>
          <w:kern w:val="0"/>
          <w:szCs w:val="20"/>
        </w:rPr>
        <w:t>，</w:t>
      </w:r>
      <w:r w:rsidRPr="008E2B3B">
        <w:rPr>
          <w:rFonts w:eastAsia="宋体"/>
          <w:kern w:val="0"/>
          <w:szCs w:val="20"/>
        </w:rPr>
        <w:t xml:space="preserve"> A. R.</w:t>
      </w:r>
      <w:r w:rsidRPr="008E2B3B">
        <w:rPr>
          <w:rFonts w:eastAsia="宋体"/>
          <w:kern w:val="0"/>
          <w:szCs w:val="20"/>
        </w:rPr>
        <w:t>等人，</w:t>
      </w:r>
      <w:r w:rsidRPr="008E2B3B">
        <w:rPr>
          <w:rFonts w:eastAsia="宋体"/>
          <w:kern w:val="0"/>
          <w:szCs w:val="20"/>
        </w:rPr>
        <w:t>"</w:t>
      </w:r>
      <w:r w:rsidRPr="008E2B3B">
        <w:rPr>
          <w:rFonts w:eastAsia="宋体"/>
          <w:kern w:val="0"/>
          <w:szCs w:val="20"/>
        </w:rPr>
        <w:t>它是不利的，非危险的，适应性的，还是伪的？</w:t>
      </w:r>
      <w:r w:rsidRPr="008E2B3B">
        <w:rPr>
          <w:rFonts w:eastAsia="宋体"/>
          <w:kern w:val="0"/>
          <w:szCs w:val="20"/>
        </w:rPr>
        <w:t>"</w:t>
      </w:r>
      <w:r w:rsidRPr="008E2B3B">
        <w:rPr>
          <w:rFonts w:eastAsia="宋体"/>
          <w:kern w:val="0"/>
          <w:szCs w:val="20"/>
        </w:rPr>
        <w:t>，毒理学病理学，第</w:t>
      </w:r>
      <w:r w:rsidRPr="008E2B3B">
        <w:rPr>
          <w:rFonts w:eastAsia="宋体"/>
          <w:kern w:val="0"/>
          <w:szCs w:val="20"/>
        </w:rPr>
        <w:t>45</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2017</w:t>
      </w:r>
      <w:r w:rsidRPr="008E2B3B">
        <w:rPr>
          <w:rFonts w:eastAsia="宋体"/>
          <w:kern w:val="0"/>
          <w:szCs w:val="20"/>
        </w:rPr>
        <w:t>年，第</w:t>
      </w:r>
      <w:r w:rsidRPr="008E2B3B">
        <w:rPr>
          <w:rFonts w:eastAsia="宋体"/>
          <w:kern w:val="0"/>
          <w:szCs w:val="20"/>
        </w:rPr>
        <w:t>238-247</w:t>
      </w:r>
      <w:r w:rsidRPr="008E2B3B">
        <w:rPr>
          <w:rFonts w:eastAsia="宋体"/>
          <w:kern w:val="0"/>
          <w:szCs w:val="20"/>
        </w:rPr>
        <w:t>页。</w:t>
      </w:r>
      <w:r w:rsidRPr="008E2B3B">
        <w:rPr>
          <w:rFonts w:eastAsia="宋体"/>
          <w:kern w:val="0"/>
          <w:szCs w:val="20"/>
        </w:rPr>
        <w:t xml:space="preserve"> </w:t>
      </w:r>
    </w:p>
    <w:p w14:paraId="6D8E31BF" w14:textId="77777777" w:rsidR="00EC1A52" w:rsidRPr="008E2B3B" w:rsidRDefault="00EC1A52" w:rsidP="00EC1A52">
      <w:pPr>
        <w:shd w:val="clear" w:color="auto" w:fill="F0F0A0"/>
        <w:spacing w:after="13" w:line="256" w:lineRule="auto"/>
        <w:ind w:left="452" w:hanging="452"/>
        <w:jc w:val="left"/>
        <w:rPr>
          <w:rFonts w:eastAsia="宋体"/>
          <w:color w:val="0F0F5F"/>
          <w:kern w:val="0"/>
          <w:szCs w:val="20"/>
        </w:rPr>
      </w:pPr>
      <w:r w:rsidRPr="008E2B3B">
        <w:rPr>
          <w:rFonts w:eastAsia="宋体"/>
          <w:b/>
          <w:bCs/>
          <w:color w:val="FF0000"/>
          <w:kern w:val="0"/>
          <w:szCs w:val="20"/>
        </w:rPr>
        <w:t>（</w:t>
      </w:r>
      <w:r w:rsidRPr="008E2B3B">
        <w:rPr>
          <w:rFonts w:eastAsia="宋体"/>
          <w:b/>
          <w:bCs/>
          <w:color w:val="FF0000"/>
          <w:kern w:val="0"/>
          <w:szCs w:val="20"/>
        </w:rPr>
        <w:t>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color w:val="0F0F5F"/>
          <w:kern w:val="0"/>
          <w:szCs w:val="20"/>
        </w:rPr>
        <w:t>EFSA</w:t>
      </w:r>
      <w:r w:rsidRPr="008E2B3B">
        <w:rPr>
          <w:rFonts w:eastAsia="宋体"/>
          <w:color w:val="0F0F5F"/>
          <w:kern w:val="0"/>
          <w:szCs w:val="20"/>
        </w:rPr>
        <w:t>科学委员会，</w:t>
      </w:r>
      <w:r w:rsidRPr="008E2B3B">
        <w:rPr>
          <w:rFonts w:eastAsia="宋体"/>
          <w:color w:val="0F0F5F"/>
          <w:kern w:val="0"/>
          <w:szCs w:val="20"/>
        </w:rPr>
        <w:t>"</w:t>
      </w:r>
      <w:r w:rsidRPr="008E2B3B">
        <w:rPr>
          <w:rFonts w:eastAsia="宋体"/>
          <w:color w:val="0F0F5F"/>
          <w:kern w:val="0"/>
          <w:szCs w:val="20"/>
        </w:rPr>
        <w:t>科学委员会关于</w:t>
      </w:r>
      <w:r w:rsidRPr="008E2B3B">
        <w:rPr>
          <w:rFonts w:eastAsia="宋体"/>
          <w:color w:val="0F0F5F"/>
          <w:kern w:val="0"/>
          <w:szCs w:val="20"/>
        </w:rPr>
        <w:t>EFSA</w:t>
      </w:r>
      <w:r w:rsidRPr="008E2B3B">
        <w:rPr>
          <w:rFonts w:eastAsia="宋体"/>
          <w:color w:val="0F0F5F"/>
          <w:kern w:val="0"/>
          <w:szCs w:val="20"/>
        </w:rPr>
        <w:t>关于在风险评估中使用基准剂量方法的请求的指导意见</w:t>
      </w:r>
      <w:r w:rsidRPr="008E2B3B">
        <w:rPr>
          <w:rFonts w:eastAsia="宋体"/>
          <w:color w:val="0F0F5F"/>
          <w:kern w:val="0"/>
          <w:szCs w:val="20"/>
        </w:rPr>
        <w:t>"</w:t>
      </w:r>
      <w:r w:rsidRPr="008E2B3B">
        <w:rPr>
          <w:rFonts w:eastAsia="宋体"/>
          <w:color w:val="0F0F5F"/>
          <w:kern w:val="0"/>
          <w:szCs w:val="20"/>
        </w:rPr>
        <w:t>，</w:t>
      </w:r>
      <w:r w:rsidRPr="008E2B3B">
        <w:rPr>
          <w:rFonts w:eastAsia="宋体"/>
          <w:color w:val="0F0F5F"/>
          <w:kern w:val="0"/>
          <w:szCs w:val="20"/>
        </w:rPr>
        <w:t>EFSA</w:t>
      </w:r>
      <w:r w:rsidRPr="008E2B3B">
        <w:rPr>
          <w:rFonts w:eastAsia="宋体"/>
          <w:color w:val="0F0F5F"/>
          <w:kern w:val="0"/>
          <w:szCs w:val="20"/>
        </w:rPr>
        <w:t>杂志，</w:t>
      </w:r>
      <w:r w:rsidRPr="008E2B3B">
        <w:rPr>
          <w:rFonts w:eastAsia="宋体"/>
          <w:color w:val="0F0F5F"/>
          <w:kern w:val="0"/>
          <w:szCs w:val="20"/>
        </w:rPr>
        <w:t>2009</w:t>
      </w:r>
      <w:r w:rsidRPr="008E2B3B">
        <w:rPr>
          <w:rFonts w:eastAsia="宋体"/>
          <w:color w:val="0F0F5F"/>
          <w:kern w:val="0"/>
          <w:szCs w:val="20"/>
        </w:rPr>
        <w:t>年第</w:t>
      </w:r>
      <w:r w:rsidRPr="008E2B3B">
        <w:rPr>
          <w:rFonts w:eastAsia="宋体"/>
          <w:color w:val="0F0F5F"/>
          <w:kern w:val="0"/>
          <w:szCs w:val="20"/>
        </w:rPr>
        <w:t>1150</w:t>
      </w:r>
      <w:r w:rsidRPr="008E2B3B">
        <w:rPr>
          <w:rFonts w:eastAsia="宋体"/>
          <w:color w:val="0F0F5F"/>
          <w:kern w:val="0"/>
          <w:szCs w:val="20"/>
        </w:rPr>
        <w:t>卷，第</w:t>
      </w:r>
      <w:r w:rsidRPr="008E2B3B">
        <w:rPr>
          <w:rFonts w:eastAsia="宋体"/>
          <w:color w:val="0F0F5F"/>
          <w:kern w:val="0"/>
          <w:szCs w:val="20"/>
        </w:rPr>
        <w:t>1~72</w:t>
      </w:r>
      <w:r w:rsidRPr="008E2B3B">
        <w:rPr>
          <w:rFonts w:eastAsia="宋体"/>
          <w:color w:val="0F0F5F"/>
          <w:kern w:val="0"/>
          <w:szCs w:val="20"/>
        </w:rPr>
        <w:t>页。</w:t>
      </w:r>
    </w:p>
    <w:p w14:paraId="0317542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EFSA</w:t>
      </w:r>
      <w:r w:rsidRPr="008E2B3B">
        <w:rPr>
          <w:rFonts w:eastAsia="宋体"/>
          <w:kern w:val="0"/>
          <w:szCs w:val="20"/>
        </w:rPr>
        <w:t>科学委员会，</w:t>
      </w:r>
      <w:r w:rsidRPr="008E2B3B">
        <w:rPr>
          <w:rFonts w:eastAsia="宋体"/>
          <w:kern w:val="0"/>
          <w:szCs w:val="20"/>
        </w:rPr>
        <w:t>"</w:t>
      </w:r>
      <w:r w:rsidRPr="008E2B3B">
        <w:rPr>
          <w:rFonts w:eastAsia="宋体"/>
          <w:kern w:val="0"/>
          <w:szCs w:val="20"/>
        </w:rPr>
        <w:t>更新：在风险评估中使用基准剂量方法</w:t>
      </w:r>
      <w:r w:rsidRPr="008E2B3B">
        <w:rPr>
          <w:rFonts w:eastAsia="宋体"/>
          <w:kern w:val="0"/>
          <w:szCs w:val="20"/>
        </w:rPr>
        <w:t>"</w:t>
      </w:r>
      <w:r w:rsidRPr="008E2B3B">
        <w:rPr>
          <w:rFonts w:eastAsia="宋体"/>
          <w:kern w:val="0"/>
          <w:szCs w:val="20"/>
        </w:rPr>
        <w:t>，</w:t>
      </w:r>
      <w:r w:rsidRPr="008E2B3B">
        <w:rPr>
          <w:rFonts w:eastAsia="宋体"/>
          <w:kern w:val="0"/>
          <w:szCs w:val="20"/>
        </w:rPr>
        <w:t>EFSA</w:t>
      </w:r>
      <w:r w:rsidRPr="008E2B3B">
        <w:rPr>
          <w:rFonts w:eastAsia="宋体"/>
          <w:kern w:val="0"/>
          <w:szCs w:val="20"/>
        </w:rPr>
        <w:t>杂志，第</w:t>
      </w:r>
      <w:r w:rsidRPr="008E2B3B">
        <w:rPr>
          <w:rFonts w:eastAsia="宋体"/>
          <w:kern w:val="0"/>
          <w:szCs w:val="20"/>
        </w:rPr>
        <w:t>15</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2017</w:t>
      </w:r>
      <w:r w:rsidRPr="008E2B3B">
        <w:rPr>
          <w:rFonts w:eastAsia="宋体"/>
          <w:kern w:val="0"/>
          <w:szCs w:val="20"/>
        </w:rPr>
        <w:t>年，第</w:t>
      </w:r>
      <w:r w:rsidRPr="008E2B3B">
        <w:rPr>
          <w:rFonts w:eastAsia="宋体"/>
          <w:kern w:val="0"/>
          <w:szCs w:val="20"/>
        </w:rPr>
        <w:t>4658</w:t>
      </w:r>
      <w:r w:rsidRPr="008E2B3B">
        <w:rPr>
          <w:rFonts w:eastAsia="宋体"/>
          <w:kern w:val="0"/>
          <w:szCs w:val="20"/>
        </w:rPr>
        <w:t>号。</w:t>
      </w:r>
    </w:p>
    <w:p w14:paraId="310498C4"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基准剂量技术指导，风险评估论坛，美国环境保护局，华盛顿特区，</w:t>
      </w:r>
      <w:r w:rsidRPr="008E2B3B">
        <w:rPr>
          <w:rFonts w:eastAsia="宋体"/>
          <w:kern w:val="0"/>
          <w:szCs w:val="20"/>
        </w:rPr>
        <w:t>2012</w:t>
      </w:r>
      <w:r w:rsidRPr="008E2B3B">
        <w:rPr>
          <w:rFonts w:eastAsia="宋体"/>
          <w:kern w:val="0"/>
          <w:szCs w:val="20"/>
        </w:rPr>
        <w:t>年，第</w:t>
      </w:r>
      <w:r w:rsidRPr="008E2B3B">
        <w:rPr>
          <w:rFonts w:eastAsia="宋体"/>
          <w:kern w:val="0"/>
          <w:szCs w:val="20"/>
        </w:rPr>
        <w:t>99</w:t>
      </w:r>
      <w:r w:rsidRPr="008E2B3B">
        <w:rPr>
          <w:rFonts w:eastAsia="宋体"/>
          <w:kern w:val="0"/>
          <w:szCs w:val="20"/>
        </w:rPr>
        <w:t>周。</w:t>
      </w:r>
    </w:p>
    <w:p w14:paraId="186551F4"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7</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IARC</w:t>
      </w:r>
      <w:r w:rsidRPr="008E2B3B">
        <w:rPr>
          <w:rFonts w:eastAsia="宋体"/>
          <w:kern w:val="0"/>
          <w:szCs w:val="20"/>
        </w:rPr>
        <w:t>关于对人类致癌风险的评价专著，第</w:t>
      </w:r>
      <w:r w:rsidRPr="008E2B3B">
        <w:rPr>
          <w:rFonts w:eastAsia="宋体"/>
          <w:kern w:val="0"/>
          <w:szCs w:val="20"/>
        </w:rPr>
        <w:t>110</w:t>
      </w:r>
      <w:r w:rsidRPr="008E2B3B">
        <w:rPr>
          <w:rFonts w:eastAsia="宋体"/>
          <w:kern w:val="0"/>
          <w:szCs w:val="20"/>
        </w:rPr>
        <w:t>卷，</w:t>
      </w:r>
      <w:r w:rsidRPr="008E2B3B">
        <w:rPr>
          <w:rFonts w:eastAsia="宋体"/>
          <w:kern w:val="0"/>
          <w:szCs w:val="20"/>
        </w:rPr>
        <w:t>"</w:t>
      </w:r>
      <w:r w:rsidRPr="008E2B3B">
        <w:rPr>
          <w:rFonts w:eastAsia="宋体"/>
          <w:kern w:val="0"/>
          <w:szCs w:val="20"/>
        </w:rPr>
        <w:t>用作溶剂和聚合物制造的某些化学品</w:t>
      </w:r>
      <w:r w:rsidRPr="008E2B3B">
        <w:rPr>
          <w:rFonts w:eastAsia="宋体"/>
          <w:kern w:val="0"/>
          <w:szCs w:val="20"/>
        </w:rPr>
        <w:t>"</w:t>
      </w:r>
      <w:r w:rsidRPr="008E2B3B">
        <w:rPr>
          <w:rFonts w:eastAsia="宋体"/>
          <w:kern w:val="0"/>
          <w:szCs w:val="20"/>
        </w:rPr>
        <w:t>，世界卫生组织，国际癌症研究机构，法国里昂，</w:t>
      </w:r>
      <w:r w:rsidRPr="008E2B3B">
        <w:rPr>
          <w:rFonts w:eastAsia="宋体"/>
          <w:kern w:val="0"/>
          <w:szCs w:val="20"/>
        </w:rPr>
        <w:t>2016</w:t>
      </w:r>
      <w:r w:rsidRPr="008E2B3B">
        <w:rPr>
          <w:rFonts w:eastAsia="宋体"/>
          <w:kern w:val="0"/>
          <w:szCs w:val="20"/>
        </w:rPr>
        <w:t>年，第</w:t>
      </w:r>
      <w:r w:rsidRPr="008E2B3B">
        <w:rPr>
          <w:rFonts w:eastAsia="宋体"/>
          <w:kern w:val="0"/>
          <w:szCs w:val="20"/>
        </w:rPr>
        <w:t>289</w:t>
      </w:r>
      <w:r w:rsidRPr="008E2B3B">
        <w:rPr>
          <w:rFonts w:eastAsia="宋体"/>
          <w:kern w:val="0"/>
          <w:szCs w:val="20"/>
        </w:rPr>
        <w:t>期。</w:t>
      </w:r>
    </w:p>
    <w:p w14:paraId="0205B15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美国环境保护署，</w:t>
      </w:r>
      <w:r w:rsidRPr="008E2B3B">
        <w:rPr>
          <w:rFonts w:eastAsia="宋体"/>
          <w:kern w:val="0"/>
          <w:szCs w:val="20"/>
        </w:rPr>
        <w:t>IRIS</w:t>
      </w:r>
      <w:r w:rsidRPr="008E2B3B">
        <w:rPr>
          <w:rFonts w:eastAsia="宋体"/>
          <w:kern w:val="0"/>
          <w:szCs w:val="20"/>
        </w:rPr>
        <w:t>术语词汇表，</w:t>
      </w:r>
      <w:r w:rsidRPr="008E2B3B">
        <w:rPr>
          <w:rFonts w:eastAsia="宋体"/>
          <w:kern w:val="0"/>
          <w:szCs w:val="20"/>
        </w:rPr>
        <w:t>2003</w:t>
      </w:r>
      <w:r w:rsidRPr="008E2B3B">
        <w:rPr>
          <w:rFonts w:eastAsia="宋体"/>
          <w:kern w:val="0"/>
          <w:szCs w:val="20"/>
        </w:rPr>
        <w:t>年，</w:t>
      </w:r>
      <w:r w:rsidRPr="008E2B3B">
        <w:rPr>
          <w:rFonts w:eastAsia="宋体"/>
          <w:kern w:val="0"/>
          <w:szCs w:val="20"/>
        </w:rPr>
        <w:t>http://www.epa.gov/iris/gloss8.htm</w:t>
      </w:r>
      <w:r w:rsidRPr="008E2B3B">
        <w:rPr>
          <w:rFonts w:eastAsia="宋体"/>
          <w:kern w:val="0"/>
          <w:szCs w:val="20"/>
        </w:rPr>
        <w:t>。</w:t>
      </w:r>
    </w:p>
    <w:p w14:paraId="2F713D2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9</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古尔德、</w:t>
      </w:r>
      <w:r w:rsidRPr="008E2B3B">
        <w:rPr>
          <w:rFonts w:eastAsia="宋体"/>
          <w:kern w:val="0"/>
          <w:szCs w:val="20"/>
        </w:rPr>
        <w:t>J.</w:t>
      </w:r>
      <w:r w:rsidRPr="008E2B3B">
        <w:rPr>
          <w:rFonts w:eastAsia="宋体"/>
          <w:kern w:val="0"/>
          <w:szCs w:val="20"/>
        </w:rPr>
        <w:t>等人，</w:t>
      </w:r>
      <w:r w:rsidRPr="008E2B3B">
        <w:rPr>
          <w:rFonts w:eastAsia="宋体"/>
          <w:kern w:val="0"/>
          <w:szCs w:val="20"/>
        </w:rPr>
        <w:t>"</w:t>
      </w:r>
      <w:r w:rsidRPr="008E2B3B">
        <w:rPr>
          <w:rFonts w:eastAsia="宋体"/>
          <w:kern w:val="0"/>
          <w:szCs w:val="20"/>
        </w:rPr>
        <w:t>药物可接受每日接触衍生的特殊终点和产品特定注意事项</w:t>
      </w:r>
      <w:r w:rsidRPr="008E2B3B">
        <w:rPr>
          <w:rFonts w:eastAsia="宋体"/>
          <w:kern w:val="0"/>
          <w:szCs w:val="20"/>
        </w:rPr>
        <w:t>"</w:t>
      </w:r>
      <w:r w:rsidRPr="008E2B3B">
        <w:rPr>
          <w:rFonts w:eastAsia="宋体"/>
          <w:kern w:val="0"/>
          <w:szCs w:val="20"/>
        </w:rPr>
        <w:t>，监管毒理学和药理学，第</w:t>
      </w:r>
      <w:r w:rsidRPr="008E2B3B">
        <w:rPr>
          <w:rFonts w:eastAsia="宋体"/>
          <w:kern w:val="0"/>
          <w:szCs w:val="20"/>
        </w:rPr>
        <w:t>79</w:t>
      </w:r>
      <w:r w:rsidRPr="008E2B3B">
        <w:rPr>
          <w:rFonts w:eastAsia="宋体"/>
          <w:kern w:val="0"/>
          <w:szCs w:val="20"/>
        </w:rPr>
        <w:t>卷，</w:t>
      </w:r>
      <w:r w:rsidRPr="008E2B3B">
        <w:rPr>
          <w:rFonts w:eastAsia="宋体"/>
          <w:kern w:val="0"/>
          <w:szCs w:val="20"/>
        </w:rPr>
        <w:t>2016</w:t>
      </w:r>
      <w:r w:rsidRPr="008E2B3B">
        <w:rPr>
          <w:rFonts w:eastAsia="宋体"/>
          <w:kern w:val="0"/>
          <w:szCs w:val="20"/>
        </w:rPr>
        <w:t>年第</w:t>
      </w:r>
      <w:r w:rsidRPr="008E2B3B">
        <w:rPr>
          <w:rFonts w:eastAsia="宋体"/>
          <w:kern w:val="0"/>
          <w:szCs w:val="20"/>
        </w:rPr>
        <w:t>1</w:t>
      </w:r>
      <w:r w:rsidRPr="008E2B3B">
        <w:rPr>
          <w:rFonts w:eastAsia="宋体"/>
          <w:kern w:val="0"/>
          <w:szCs w:val="20"/>
        </w:rPr>
        <w:t>卷，第</w:t>
      </w:r>
      <w:r w:rsidRPr="008E2B3B">
        <w:rPr>
          <w:rFonts w:eastAsia="宋体"/>
          <w:kern w:val="0"/>
          <w:szCs w:val="20"/>
        </w:rPr>
        <w:t>79-S93</w:t>
      </w:r>
      <w:r w:rsidRPr="008E2B3B">
        <w:rPr>
          <w:rFonts w:eastAsia="宋体"/>
          <w:kern w:val="0"/>
          <w:szCs w:val="20"/>
        </w:rPr>
        <w:t>页。</w:t>
      </w:r>
    </w:p>
    <w:p w14:paraId="2645011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10</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豪斯</w:t>
      </w:r>
      <w:proofErr w:type="gramStart"/>
      <w:r w:rsidRPr="008E2B3B">
        <w:rPr>
          <w:rFonts w:eastAsia="宋体"/>
          <w:kern w:val="0"/>
          <w:szCs w:val="20"/>
        </w:rPr>
        <w:t>曼</w:t>
      </w:r>
      <w:proofErr w:type="gramEnd"/>
      <w:r w:rsidRPr="008E2B3B">
        <w:rPr>
          <w:rFonts w:eastAsia="宋体"/>
          <w:kern w:val="0"/>
          <w:szCs w:val="20"/>
        </w:rPr>
        <w:t>，</w:t>
      </w:r>
      <w:r w:rsidRPr="008E2B3B">
        <w:rPr>
          <w:rFonts w:eastAsia="宋体"/>
          <w:kern w:val="0"/>
          <w:szCs w:val="20"/>
        </w:rPr>
        <w:t xml:space="preserve"> O.</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施尼德，</w:t>
      </w:r>
      <w:r w:rsidRPr="008E2B3B">
        <w:rPr>
          <w:rFonts w:eastAsia="宋体"/>
          <w:kern w:val="0"/>
          <w:szCs w:val="20"/>
        </w:rPr>
        <w:t xml:space="preserve"> B.</w:t>
      </w:r>
      <w:r w:rsidRPr="008E2B3B">
        <w:rPr>
          <w:rFonts w:eastAsia="宋体"/>
          <w:kern w:val="0"/>
          <w:szCs w:val="20"/>
        </w:rPr>
        <w:t>和皮克勒，</w:t>
      </w:r>
      <w:r w:rsidRPr="008E2B3B">
        <w:rPr>
          <w:rFonts w:eastAsia="宋体"/>
          <w:kern w:val="0"/>
          <w:szCs w:val="20"/>
        </w:rPr>
        <w:t xml:space="preserve"> W. J.</w:t>
      </w:r>
      <w:r w:rsidRPr="008E2B3B">
        <w:rPr>
          <w:rFonts w:eastAsia="宋体"/>
          <w:kern w:val="0"/>
          <w:szCs w:val="20"/>
        </w:rPr>
        <w:t>，</w:t>
      </w:r>
      <w:r w:rsidRPr="008E2B3B">
        <w:rPr>
          <w:rFonts w:eastAsia="宋体"/>
          <w:kern w:val="0"/>
          <w:szCs w:val="20"/>
        </w:rPr>
        <w:t xml:space="preserve"> "</w:t>
      </w:r>
      <w:r w:rsidRPr="008E2B3B">
        <w:rPr>
          <w:rFonts w:eastAsia="宋体"/>
          <w:kern w:val="0"/>
          <w:szCs w:val="20"/>
        </w:rPr>
        <w:t>药物不良反应的病因和发病机制，</w:t>
      </w:r>
      <w:r w:rsidRPr="008E2B3B">
        <w:rPr>
          <w:rFonts w:eastAsia="宋体"/>
          <w:kern w:val="0"/>
          <w:szCs w:val="20"/>
        </w:rPr>
        <w:t>"</w:t>
      </w:r>
      <w:r w:rsidRPr="008E2B3B">
        <w:rPr>
          <w:rFonts w:eastAsia="宋体"/>
          <w:kern w:val="0"/>
          <w:szCs w:val="20"/>
        </w:rPr>
        <w:t>化学免疫学和过敏，</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97</w:t>
      </w:r>
      <w:r w:rsidRPr="008E2B3B">
        <w:rPr>
          <w:rFonts w:eastAsia="宋体"/>
          <w:kern w:val="0"/>
          <w:szCs w:val="20"/>
        </w:rPr>
        <w:t>卷，</w:t>
      </w:r>
      <w:r w:rsidRPr="008E2B3B">
        <w:rPr>
          <w:rFonts w:eastAsia="宋体"/>
          <w:kern w:val="0"/>
          <w:szCs w:val="20"/>
        </w:rPr>
        <w:t xml:space="preserve"> 2012</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32-46</w:t>
      </w:r>
      <w:r w:rsidRPr="008E2B3B">
        <w:rPr>
          <w:rFonts w:eastAsia="宋体"/>
          <w:kern w:val="0"/>
          <w:szCs w:val="20"/>
        </w:rPr>
        <w:t>页</w:t>
      </w:r>
      <w:r w:rsidRPr="008E2B3B">
        <w:rPr>
          <w:rFonts w:eastAsia="宋体"/>
          <w:kern w:val="0"/>
          <w:szCs w:val="20"/>
        </w:rPr>
        <w:t>.</w:t>
      </w:r>
    </w:p>
    <w:p w14:paraId="404828CC" w14:textId="77777777" w:rsidR="00EC1A52" w:rsidRPr="008E2B3B" w:rsidRDefault="00EC1A52" w:rsidP="00EC1A52">
      <w:pPr>
        <w:spacing w:after="13" w:line="254"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11</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科学政策委员会科学政策委员会，</w:t>
      </w:r>
      <w:r w:rsidRPr="008E2B3B">
        <w:rPr>
          <w:rFonts w:eastAsia="宋体"/>
          <w:kern w:val="0"/>
          <w:szCs w:val="20"/>
        </w:rPr>
        <w:t>2003</w:t>
      </w:r>
      <w:r w:rsidRPr="008E2B3B">
        <w:rPr>
          <w:rFonts w:eastAsia="宋体"/>
          <w:kern w:val="0"/>
          <w:szCs w:val="20"/>
        </w:rPr>
        <w:t>年，华盛顿特区，科学政策委员会，科学技术信息质量评估一般评估因素摘要。</w:t>
      </w:r>
    </w:p>
    <w:p w14:paraId="2B51F89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《现有科学技术信息质量评价和记录指南》增编：科学技术信息质量评估一般评估因素摘要，科学政策委员会，美国环境保护署，华盛顿特区，</w:t>
      </w:r>
      <w:r w:rsidRPr="008E2B3B">
        <w:rPr>
          <w:rFonts w:eastAsia="宋体"/>
          <w:kern w:val="0"/>
          <w:szCs w:val="20"/>
        </w:rPr>
        <w:t>2012</w:t>
      </w:r>
      <w:r w:rsidRPr="008E2B3B">
        <w:rPr>
          <w:rFonts w:eastAsia="宋体"/>
          <w:kern w:val="0"/>
          <w:szCs w:val="20"/>
        </w:rPr>
        <w:t>年。</w:t>
      </w:r>
      <w:r w:rsidRPr="008E2B3B">
        <w:rPr>
          <w:rFonts w:eastAsia="宋体"/>
          <w:kern w:val="0"/>
          <w:szCs w:val="20"/>
        </w:rPr>
        <w:t xml:space="preserve"> </w:t>
      </w:r>
    </w:p>
    <w:p w14:paraId="02BABAE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 xml:space="preserve">IPCS </w:t>
      </w:r>
      <w:r w:rsidRPr="008E2B3B">
        <w:rPr>
          <w:rFonts w:eastAsia="宋体"/>
          <w:kern w:val="0"/>
          <w:szCs w:val="20"/>
        </w:rPr>
        <w:t>风险评估术语。第</w:t>
      </w:r>
      <w:r w:rsidRPr="008E2B3B">
        <w:rPr>
          <w:rFonts w:eastAsia="宋体"/>
          <w:kern w:val="0"/>
          <w:szCs w:val="20"/>
        </w:rPr>
        <w:t>1</w:t>
      </w:r>
      <w:r w:rsidRPr="008E2B3B">
        <w:rPr>
          <w:rFonts w:eastAsia="宋体"/>
          <w:kern w:val="0"/>
          <w:szCs w:val="20"/>
        </w:rPr>
        <w:t>部分：化学品危害</w:t>
      </w:r>
      <w:r w:rsidRPr="008E2B3B">
        <w:rPr>
          <w:rFonts w:eastAsia="宋体"/>
          <w:kern w:val="0"/>
          <w:szCs w:val="20"/>
        </w:rPr>
        <w:t>/</w:t>
      </w:r>
      <w:r w:rsidRPr="008E2B3B">
        <w:rPr>
          <w:rFonts w:eastAsia="宋体"/>
          <w:kern w:val="0"/>
          <w:szCs w:val="20"/>
        </w:rPr>
        <w:t>风险评估中使用的国际化学品安全方案</w:t>
      </w:r>
      <w:r w:rsidRPr="008E2B3B">
        <w:rPr>
          <w:rFonts w:eastAsia="宋体"/>
          <w:kern w:val="0"/>
          <w:szCs w:val="20"/>
        </w:rPr>
        <w:t>/</w:t>
      </w:r>
      <w:r w:rsidRPr="008E2B3B">
        <w:rPr>
          <w:rFonts w:eastAsia="宋体"/>
          <w:kern w:val="0"/>
          <w:szCs w:val="20"/>
        </w:rPr>
        <w:t>经合组织关键通用术语和第</w:t>
      </w:r>
      <w:r w:rsidRPr="008E2B3B">
        <w:rPr>
          <w:rFonts w:eastAsia="宋体"/>
          <w:kern w:val="0"/>
          <w:szCs w:val="20"/>
        </w:rPr>
        <w:t>2</w:t>
      </w:r>
      <w:r w:rsidRPr="008E2B3B">
        <w:rPr>
          <w:rFonts w:eastAsia="宋体"/>
          <w:kern w:val="0"/>
          <w:szCs w:val="20"/>
        </w:rPr>
        <w:t>部分：国际化学品安全方案关键暴露评估术语表、国际化学品安全方案、化学品安全方案协调项目，日内瓦，在环境规划、国际劳工组织和世界卫生组织的联合赞助下出版，在</w:t>
      </w:r>
      <w:r w:rsidRPr="008E2B3B">
        <w:rPr>
          <w:rFonts w:eastAsia="宋体"/>
          <w:kern w:val="0"/>
          <w:szCs w:val="20"/>
        </w:rPr>
        <w:t>2004</w:t>
      </w:r>
      <w:r w:rsidRPr="008E2B3B">
        <w:rPr>
          <w:rFonts w:eastAsia="宋体"/>
          <w:kern w:val="0"/>
          <w:szCs w:val="20"/>
        </w:rPr>
        <w:t>年化学品健全管理组织</w:t>
      </w:r>
      <w:proofErr w:type="gramStart"/>
      <w:r w:rsidRPr="008E2B3B">
        <w:rPr>
          <w:rFonts w:eastAsia="宋体"/>
          <w:kern w:val="0"/>
          <w:szCs w:val="20"/>
        </w:rPr>
        <w:t>间方案</w:t>
      </w:r>
      <w:proofErr w:type="gramEnd"/>
      <w:r w:rsidRPr="008E2B3B">
        <w:rPr>
          <w:rFonts w:eastAsia="宋体"/>
          <w:kern w:val="0"/>
          <w:szCs w:val="20"/>
        </w:rPr>
        <w:t>框架内制作，</w:t>
      </w:r>
      <w:r w:rsidRPr="008E2B3B">
        <w:rPr>
          <w:rFonts w:eastAsia="宋体"/>
          <w:kern w:val="0"/>
          <w:szCs w:val="20"/>
        </w:rPr>
        <w:t>2004</w:t>
      </w:r>
      <w:r w:rsidRPr="008E2B3B">
        <w:rPr>
          <w:rFonts w:eastAsia="宋体"/>
          <w:kern w:val="0"/>
          <w:szCs w:val="20"/>
        </w:rPr>
        <w:t>年，第</w:t>
      </w:r>
      <w:r w:rsidRPr="008E2B3B">
        <w:rPr>
          <w:rFonts w:eastAsia="宋体"/>
          <w:kern w:val="0"/>
          <w:szCs w:val="20"/>
        </w:rPr>
        <w:t>122</w:t>
      </w:r>
      <w:r w:rsidRPr="008E2B3B">
        <w:rPr>
          <w:rFonts w:eastAsia="宋体"/>
          <w:kern w:val="0"/>
          <w:szCs w:val="20"/>
        </w:rPr>
        <w:t>。</w:t>
      </w:r>
    </w:p>
    <w:p w14:paraId="50A222E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关于确定基于健康的接触限值用于在共用设施中制造不同药品的风险识别的准则（</w:t>
      </w:r>
      <w:r w:rsidRPr="008E2B3B">
        <w:rPr>
          <w:rFonts w:eastAsia="宋体"/>
          <w:kern w:val="0"/>
          <w:szCs w:val="20"/>
        </w:rPr>
        <w:t>EMA/CHMP/CVMP/SWP/169430/2012</w:t>
      </w:r>
      <w:r w:rsidRPr="008E2B3B">
        <w:rPr>
          <w:rFonts w:eastAsia="宋体"/>
          <w:kern w:val="0"/>
          <w:szCs w:val="20"/>
        </w:rPr>
        <w:t>）。欧洲药品管理局，伦敦，英国，</w:t>
      </w:r>
      <w:r w:rsidRPr="008E2B3B">
        <w:rPr>
          <w:rFonts w:eastAsia="宋体"/>
          <w:kern w:val="0"/>
          <w:szCs w:val="20"/>
        </w:rPr>
        <w:t>2014</w:t>
      </w:r>
      <w:r w:rsidRPr="008E2B3B">
        <w:rPr>
          <w:rFonts w:eastAsia="宋体"/>
          <w:kern w:val="0"/>
          <w:szCs w:val="20"/>
        </w:rPr>
        <w:t>年。</w:t>
      </w:r>
    </w:p>
    <w:p w14:paraId="772143E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关于实施基于风险的预防生产中交叉污染的问题和答案，以及</w:t>
      </w:r>
      <w:r w:rsidRPr="008E2B3B">
        <w:rPr>
          <w:rFonts w:eastAsia="宋体"/>
          <w:kern w:val="0"/>
          <w:szCs w:val="20"/>
        </w:rPr>
        <w:t>"</w:t>
      </w:r>
      <w:r w:rsidRPr="008E2B3B">
        <w:rPr>
          <w:rFonts w:eastAsia="宋体"/>
          <w:kern w:val="0"/>
          <w:szCs w:val="20"/>
        </w:rPr>
        <w:t>关于在共用设施制造不同药品时用于风险识别的基于健康的接触限值的准则</w:t>
      </w:r>
      <w:r w:rsidRPr="008E2B3B">
        <w:rPr>
          <w:rFonts w:eastAsia="宋体"/>
          <w:kern w:val="0"/>
          <w:szCs w:val="20"/>
        </w:rPr>
        <w:t>"</w:t>
      </w:r>
      <w:r w:rsidRPr="008E2B3B">
        <w:rPr>
          <w:rFonts w:eastAsia="宋体"/>
          <w:kern w:val="0"/>
          <w:szCs w:val="20"/>
        </w:rPr>
        <w:t>（</w:t>
      </w:r>
      <w:r w:rsidRPr="008E2B3B">
        <w:rPr>
          <w:rFonts w:eastAsia="宋体"/>
          <w:kern w:val="0"/>
          <w:szCs w:val="20"/>
        </w:rPr>
        <w:t>EMA/CHMP/CVMP/SWP/169430/2012</w:t>
      </w:r>
      <w:r w:rsidRPr="008E2B3B">
        <w:rPr>
          <w:rFonts w:eastAsia="宋体"/>
          <w:kern w:val="0"/>
          <w:szCs w:val="20"/>
        </w:rPr>
        <w:t>）（</w:t>
      </w:r>
      <w:r w:rsidRPr="008E2B3B">
        <w:rPr>
          <w:rFonts w:eastAsia="宋体"/>
          <w:kern w:val="0"/>
          <w:szCs w:val="20"/>
        </w:rPr>
        <w:t>2018</w:t>
      </w:r>
      <w:r w:rsidRPr="008E2B3B">
        <w:rPr>
          <w:rFonts w:eastAsia="宋体"/>
          <w:kern w:val="0"/>
          <w:szCs w:val="20"/>
        </w:rPr>
        <w:t>年</w:t>
      </w:r>
      <w:r w:rsidRPr="008E2B3B">
        <w:rPr>
          <w:rFonts w:eastAsia="宋体"/>
          <w:kern w:val="0"/>
          <w:szCs w:val="20"/>
        </w:rPr>
        <w:t>4</w:t>
      </w:r>
      <w:r w:rsidRPr="008E2B3B">
        <w:rPr>
          <w:rFonts w:eastAsia="宋体"/>
          <w:kern w:val="0"/>
          <w:szCs w:val="20"/>
        </w:rPr>
        <w:t>月</w:t>
      </w:r>
      <w:r w:rsidRPr="008E2B3B">
        <w:rPr>
          <w:rFonts w:eastAsia="宋体"/>
          <w:kern w:val="0"/>
          <w:szCs w:val="20"/>
        </w:rPr>
        <w:t>19</w:t>
      </w:r>
      <w:r w:rsidRPr="008E2B3B">
        <w:rPr>
          <w:rFonts w:eastAsia="宋体"/>
          <w:kern w:val="0"/>
          <w:szCs w:val="20"/>
        </w:rPr>
        <w:t>日），欧洲药品管理局，联合王国，</w:t>
      </w:r>
      <w:r w:rsidRPr="008E2B3B">
        <w:rPr>
          <w:rFonts w:eastAsia="宋体"/>
          <w:kern w:val="0"/>
          <w:szCs w:val="20"/>
        </w:rPr>
        <w:t>2018</w:t>
      </w:r>
      <w:r w:rsidRPr="008E2B3B">
        <w:rPr>
          <w:rFonts w:eastAsia="宋体"/>
          <w:kern w:val="0"/>
          <w:szCs w:val="20"/>
        </w:rPr>
        <w:t>年。</w:t>
      </w:r>
    </w:p>
    <w:p w14:paraId="52377CF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lastRenderedPageBreak/>
        <w:t>（</w:t>
      </w:r>
      <w:r w:rsidRPr="008E2B3B">
        <w:rPr>
          <w:rFonts w:eastAsia="宋体"/>
          <w:b/>
          <w:bCs/>
          <w:color w:val="FF0000"/>
          <w:kern w:val="0"/>
          <w:szCs w:val="20"/>
        </w:rPr>
        <w:t>16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国家研究委员会，《</w:t>
      </w:r>
      <w:r w:rsidRPr="008E2B3B">
        <w:rPr>
          <w:rFonts w:eastAsia="宋体"/>
          <w:kern w:val="0"/>
          <w:szCs w:val="20"/>
        </w:rPr>
        <w:t>21</w:t>
      </w:r>
      <w:r w:rsidRPr="008E2B3B">
        <w:rPr>
          <w:rFonts w:eastAsia="宋体"/>
          <w:kern w:val="0"/>
          <w:szCs w:val="20"/>
        </w:rPr>
        <w:t>世纪毒性测试：愿景与战略》，国家科学院出版社，华盛顿特区，</w:t>
      </w:r>
      <w:r w:rsidRPr="008E2B3B">
        <w:rPr>
          <w:rFonts w:eastAsia="宋体"/>
          <w:kern w:val="0"/>
          <w:szCs w:val="20"/>
        </w:rPr>
        <w:t>2007</w:t>
      </w:r>
      <w:r w:rsidRPr="008E2B3B">
        <w:rPr>
          <w:rFonts w:eastAsia="宋体"/>
          <w:kern w:val="0"/>
          <w:szCs w:val="20"/>
        </w:rPr>
        <w:t>年，</w:t>
      </w:r>
      <w:r w:rsidRPr="008E2B3B">
        <w:rPr>
          <w:rFonts w:eastAsia="宋体"/>
          <w:kern w:val="0"/>
          <w:szCs w:val="20"/>
        </w:rPr>
        <w:t>216</w:t>
      </w:r>
      <w:r w:rsidRPr="008E2B3B">
        <w:rPr>
          <w:rFonts w:eastAsia="宋体"/>
          <w:kern w:val="0"/>
          <w:szCs w:val="20"/>
        </w:rPr>
        <w:t>页。</w:t>
      </w:r>
    </w:p>
    <w:p w14:paraId="35C1ED7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17</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美国环境保护署，《致癌物风险评估指南》，风险评估论坛，</w:t>
      </w:r>
      <w:r w:rsidRPr="008E2B3B">
        <w:rPr>
          <w:rFonts w:eastAsia="宋体"/>
          <w:kern w:val="0"/>
          <w:szCs w:val="20"/>
        </w:rPr>
        <w:t>NCEA</w:t>
      </w:r>
      <w:r w:rsidRPr="008E2B3B">
        <w:rPr>
          <w:rFonts w:eastAsia="宋体"/>
          <w:kern w:val="0"/>
          <w:szCs w:val="20"/>
        </w:rPr>
        <w:t>，华盛顿特区，</w:t>
      </w:r>
      <w:r w:rsidRPr="008E2B3B">
        <w:rPr>
          <w:rFonts w:eastAsia="宋体"/>
          <w:kern w:val="0"/>
          <w:szCs w:val="20"/>
        </w:rPr>
        <w:t>2005</w:t>
      </w:r>
      <w:r w:rsidRPr="008E2B3B">
        <w:rPr>
          <w:rFonts w:eastAsia="宋体"/>
          <w:kern w:val="0"/>
          <w:szCs w:val="20"/>
        </w:rPr>
        <w:t>年，第</w:t>
      </w:r>
      <w:r w:rsidRPr="008E2B3B">
        <w:rPr>
          <w:rFonts w:eastAsia="宋体"/>
          <w:kern w:val="0"/>
          <w:szCs w:val="20"/>
        </w:rPr>
        <w:t>166</w:t>
      </w:r>
      <w:r w:rsidRPr="008E2B3B">
        <w:rPr>
          <w:rFonts w:eastAsia="宋体"/>
          <w:kern w:val="0"/>
          <w:szCs w:val="20"/>
        </w:rPr>
        <w:t>位。</w:t>
      </w:r>
    </w:p>
    <w:p w14:paraId="6BBFD0FC"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18</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Bercu</w:t>
      </w:r>
      <w:proofErr w:type="spellEnd"/>
      <w:r w:rsidRPr="008E2B3B">
        <w:rPr>
          <w:rFonts w:eastAsia="宋体"/>
          <w:kern w:val="0"/>
          <w:szCs w:val="20"/>
        </w:rPr>
        <w:t>、</w:t>
      </w:r>
      <w:r w:rsidRPr="008E2B3B">
        <w:rPr>
          <w:rFonts w:eastAsia="宋体"/>
          <w:kern w:val="0"/>
          <w:szCs w:val="20"/>
        </w:rPr>
        <w:t>J.P.</w:t>
      </w:r>
      <w:r w:rsidRPr="008E2B3B">
        <w:rPr>
          <w:rFonts w:eastAsia="宋体"/>
          <w:kern w:val="0"/>
          <w:szCs w:val="20"/>
        </w:rPr>
        <w:t>等人，</w:t>
      </w:r>
      <w:r w:rsidRPr="008E2B3B">
        <w:rPr>
          <w:rFonts w:eastAsia="宋体"/>
          <w:kern w:val="0"/>
          <w:szCs w:val="20"/>
        </w:rPr>
        <w:t>"</w:t>
      </w:r>
      <w:r w:rsidRPr="008E2B3B">
        <w:rPr>
          <w:rFonts w:eastAsia="宋体"/>
          <w:kern w:val="0"/>
          <w:szCs w:val="20"/>
        </w:rPr>
        <w:t>出发点（</w:t>
      </w:r>
      <w:proofErr w:type="spellStart"/>
      <w:r w:rsidRPr="008E2B3B">
        <w:rPr>
          <w:rFonts w:eastAsia="宋体"/>
          <w:kern w:val="0"/>
          <w:szCs w:val="20"/>
        </w:rPr>
        <w:t>PoD</w:t>
      </w:r>
      <w:proofErr w:type="spellEnd"/>
      <w:r w:rsidRPr="008E2B3B">
        <w:rPr>
          <w:rFonts w:eastAsia="宋体"/>
          <w:kern w:val="0"/>
          <w:szCs w:val="20"/>
        </w:rPr>
        <w:t>）选择，用于为活性药物成分（</w:t>
      </w:r>
      <w:r w:rsidRPr="008E2B3B">
        <w:rPr>
          <w:rFonts w:eastAsia="宋体"/>
          <w:kern w:val="0"/>
          <w:szCs w:val="20"/>
        </w:rPr>
        <w:t>API</w:t>
      </w:r>
      <w:r w:rsidRPr="008E2B3B">
        <w:rPr>
          <w:rFonts w:eastAsia="宋体"/>
          <w:kern w:val="0"/>
          <w:szCs w:val="20"/>
        </w:rPr>
        <w:t>）提供可接受的每日接触（</w:t>
      </w:r>
      <w:r w:rsidRPr="008E2B3B">
        <w:rPr>
          <w:rFonts w:eastAsia="宋体"/>
          <w:kern w:val="0"/>
          <w:szCs w:val="20"/>
        </w:rPr>
        <w:t>AD</w:t>
      </w:r>
      <w:r w:rsidRPr="008E2B3B">
        <w:rPr>
          <w:rFonts w:eastAsia="宋体"/>
          <w:kern w:val="0"/>
          <w:szCs w:val="20"/>
        </w:rPr>
        <w:t>）</w:t>
      </w:r>
      <w:r w:rsidRPr="008E2B3B">
        <w:rPr>
          <w:rFonts w:eastAsia="宋体"/>
          <w:kern w:val="0"/>
          <w:szCs w:val="20"/>
        </w:rPr>
        <w:t>"</w:t>
      </w:r>
      <w:r w:rsidRPr="008E2B3B">
        <w:rPr>
          <w:rFonts w:eastAsia="宋体"/>
          <w:kern w:val="0"/>
          <w:szCs w:val="20"/>
        </w:rPr>
        <w:t>，</w:t>
      </w:r>
      <w:r w:rsidRPr="008E2B3B">
        <w:rPr>
          <w:rFonts w:eastAsia="宋体"/>
          <w:kern w:val="0"/>
          <w:szCs w:val="20"/>
        </w:rPr>
        <w:t>"</w:t>
      </w:r>
      <w:r w:rsidRPr="008E2B3B">
        <w:rPr>
          <w:rFonts w:eastAsia="宋体"/>
          <w:kern w:val="0"/>
          <w:szCs w:val="20"/>
        </w:rPr>
        <w:t>监管毒理学和药理学，第</w:t>
      </w:r>
      <w:r w:rsidRPr="008E2B3B">
        <w:rPr>
          <w:rFonts w:eastAsia="宋体"/>
          <w:kern w:val="0"/>
          <w:szCs w:val="20"/>
        </w:rPr>
        <w:t>79</w:t>
      </w:r>
      <w:r w:rsidRPr="008E2B3B">
        <w:rPr>
          <w:rFonts w:eastAsia="宋体"/>
          <w:kern w:val="0"/>
          <w:szCs w:val="20"/>
        </w:rPr>
        <w:t>卷，</w:t>
      </w:r>
      <w:r w:rsidRPr="008E2B3B">
        <w:rPr>
          <w:rFonts w:eastAsia="宋体"/>
          <w:kern w:val="0"/>
          <w:szCs w:val="20"/>
        </w:rPr>
        <w:t>Suppl.1</w:t>
      </w:r>
      <w:r w:rsidRPr="008E2B3B">
        <w:rPr>
          <w:rFonts w:eastAsia="宋体"/>
          <w:kern w:val="0"/>
          <w:szCs w:val="20"/>
        </w:rPr>
        <w:t>，</w:t>
      </w:r>
      <w:r w:rsidRPr="008E2B3B">
        <w:rPr>
          <w:rFonts w:eastAsia="宋体"/>
          <w:kern w:val="0"/>
          <w:szCs w:val="20"/>
        </w:rPr>
        <w:t>2016</w:t>
      </w:r>
      <w:r w:rsidRPr="008E2B3B">
        <w:rPr>
          <w:rFonts w:eastAsia="宋体"/>
          <w:kern w:val="0"/>
          <w:szCs w:val="20"/>
        </w:rPr>
        <w:t>年，第</w:t>
      </w:r>
      <w:r w:rsidRPr="008E2B3B">
        <w:rPr>
          <w:rFonts w:eastAsia="宋体"/>
          <w:kern w:val="0"/>
          <w:szCs w:val="20"/>
        </w:rPr>
        <w:t>48-S56</w:t>
      </w:r>
      <w:r w:rsidRPr="008E2B3B">
        <w:rPr>
          <w:rFonts w:eastAsia="宋体"/>
          <w:kern w:val="0"/>
          <w:szCs w:val="20"/>
        </w:rPr>
        <w:t>页。</w:t>
      </w:r>
    </w:p>
    <w:p w14:paraId="38C13CD2"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19</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Klimisch</w:t>
      </w:r>
      <w:proofErr w:type="spellEnd"/>
      <w:r w:rsidRPr="008E2B3B">
        <w:rPr>
          <w:rFonts w:eastAsia="宋体"/>
          <w:kern w:val="0"/>
          <w:szCs w:val="20"/>
        </w:rPr>
        <w:t>，</w:t>
      </w:r>
      <w:r w:rsidRPr="008E2B3B">
        <w:rPr>
          <w:rFonts w:eastAsia="宋体"/>
          <w:kern w:val="0"/>
          <w:szCs w:val="20"/>
        </w:rPr>
        <w:t xml:space="preserve"> H. J.</w:t>
      </w:r>
      <w:r w:rsidRPr="008E2B3B">
        <w:rPr>
          <w:rFonts w:eastAsia="宋体"/>
          <w:kern w:val="0"/>
          <w:szCs w:val="20"/>
        </w:rPr>
        <w:t>，</w:t>
      </w:r>
      <w:r w:rsidRPr="008E2B3B">
        <w:rPr>
          <w:rFonts w:eastAsia="宋体"/>
          <w:kern w:val="0"/>
          <w:szCs w:val="20"/>
        </w:rPr>
        <w:t xml:space="preserve"> </w:t>
      </w:r>
      <w:proofErr w:type="spellStart"/>
      <w:r w:rsidRPr="008E2B3B">
        <w:rPr>
          <w:rFonts w:eastAsia="宋体"/>
          <w:kern w:val="0"/>
          <w:szCs w:val="20"/>
        </w:rPr>
        <w:t>Andreae</w:t>
      </w:r>
      <w:proofErr w:type="spellEnd"/>
      <w:r w:rsidRPr="008E2B3B">
        <w:rPr>
          <w:rFonts w:eastAsia="宋体"/>
          <w:kern w:val="0"/>
          <w:szCs w:val="20"/>
        </w:rPr>
        <w:t>，</w:t>
      </w:r>
      <w:r w:rsidRPr="008E2B3B">
        <w:rPr>
          <w:rFonts w:eastAsia="宋体"/>
          <w:kern w:val="0"/>
          <w:szCs w:val="20"/>
        </w:rPr>
        <w:t xml:space="preserve"> M. </w:t>
      </w:r>
      <w:r w:rsidRPr="008E2B3B">
        <w:rPr>
          <w:rFonts w:eastAsia="宋体"/>
          <w:kern w:val="0"/>
          <w:szCs w:val="20"/>
        </w:rPr>
        <w:t>和蒂尔曼，</w:t>
      </w:r>
      <w:r w:rsidRPr="008E2B3B">
        <w:rPr>
          <w:rFonts w:eastAsia="宋体"/>
          <w:kern w:val="0"/>
          <w:szCs w:val="20"/>
        </w:rPr>
        <w:t xml:space="preserve"> </w:t>
      </w:r>
      <w:r w:rsidRPr="008E2B3B">
        <w:rPr>
          <w:rFonts w:eastAsia="宋体"/>
          <w:kern w:val="0"/>
          <w:szCs w:val="20"/>
        </w:rPr>
        <w:t>美国，</w:t>
      </w:r>
      <w:r w:rsidRPr="008E2B3B">
        <w:rPr>
          <w:rFonts w:eastAsia="宋体"/>
          <w:kern w:val="0"/>
          <w:szCs w:val="20"/>
        </w:rPr>
        <w:t xml:space="preserve">" </w:t>
      </w:r>
      <w:r w:rsidRPr="008E2B3B">
        <w:rPr>
          <w:rFonts w:eastAsia="宋体"/>
          <w:kern w:val="0"/>
          <w:szCs w:val="20"/>
        </w:rPr>
        <w:t>评估实验毒理学和生态毒理学数据质量的系统方法，</w:t>
      </w:r>
      <w:r w:rsidRPr="008E2B3B">
        <w:rPr>
          <w:rFonts w:eastAsia="宋体"/>
          <w:kern w:val="0"/>
          <w:szCs w:val="20"/>
        </w:rPr>
        <w:t>"</w:t>
      </w:r>
      <w:r w:rsidRPr="008E2B3B">
        <w:rPr>
          <w:rFonts w:eastAsia="宋体"/>
          <w:kern w:val="0"/>
          <w:szCs w:val="20"/>
        </w:rPr>
        <w:t>监管毒理学和药理学，</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25</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1</w:t>
      </w:r>
      <w:r w:rsidRPr="008E2B3B">
        <w:rPr>
          <w:rFonts w:eastAsia="宋体"/>
          <w:kern w:val="0"/>
          <w:szCs w:val="20"/>
        </w:rPr>
        <w:t>号，</w:t>
      </w:r>
      <w:r w:rsidRPr="008E2B3B">
        <w:rPr>
          <w:rFonts w:eastAsia="宋体"/>
          <w:kern w:val="0"/>
          <w:szCs w:val="20"/>
        </w:rPr>
        <w:t xml:space="preserve"> 1997</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1</w:t>
      </w:r>
      <w:r w:rsidRPr="008E2B3B">
        <w:rPr>
          <w:rFonts w:eastAsia="宋体"/>
          <w:kern w:val="0"/>
          <w:szCs w:val="20"/>
        </w:rPr>
        <w:t>至</w:t>
      </w:r>
      <w:r w:rsidRPr="008E2B3B">
        <w:rPr>
          <w:rFonts w:eastAsia="宋体"/>
          <w:kern w:val="0"/>
          <w:szCs w:val="20"/>
        </w:rPr>
        <w:t>5</w:t>
      </w:r>
      <w:r w:rsidRPr="008E2B3B">
        <w:rPr>
          <w:rFonts w:eastAsia="宋体"/>
          <w:kern w:val="0"/>
          <w:szCs w:val="20"/>
        </w:rPr>
        <w:t>页</w:t>
      </w:r>
      <w:r w:rsidRPr="008E2B3B">
        <w:rPr>
          <w:rFonts w:eastAsia="宋体"/>
          <w:kern w:val="0"/>
          <w:szCs w:val="20"/>
        </w:rPr>
        <w:t>.</w:t>
      </w:r>
    </w:p>
    <w:p w14:paraId="68472611"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20</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Moermond</w:t>
      </w:r>
      <w:proofErr w:type="spellEnd"/>
      <w:r w:rsidRPr="008E2B3B">
        <w:rPr>
          <w:rFonts w:eastAsia="宋体"/>
          <w:kern w:val="0"/>
          <w:szCs w:val="20"/>
        </w:rPr>
        <w:t>，</w:t>
      </w:r>
      <w:r w:rsidRPr="008E2B3B">
        <w:rPr>
          <w:rFonts w:eastAsia="宋体"/>
          <w:kern w:val="0"/>
          <w:szCs w:val="20"/>
        </w:rPr>
        <w:t xml:space="preserve"> C.</w:t>
      </w:r>
      <w:r w:rsidRPr="008E2B3B">
        <w:rPr>
          <w:rFonts w:eastAsia="宋体"/>
          <w:kern w:val="0"/>
          <w:szCs w:val="20"/>
        </w:rPr>
        <w:t>等人，</w:t>
      </w:r>
      <w:r w:rsidRPr="008E2B3B">
        <w:rPr>
          <w:rFonts w:eastAsia="宋体"/>
          <w:kern w:val="0"/>
          <w:szCs w:val="20"/>
        </w:rPr>
        <w:t>"</w:t>
      </w:r>
      <w:r w:rsidRPr="008E2B3B">
        <w:rPr>
          <w:rFonts w:eastAsia="宋体"/>
          <w:kern w:val="0"/>
          <w:szCs w:val="20"/>
        </w:rPr>
        <w:t>评估生态毒理学研究的可靠性：当前需要和方法的概述</w:t>
      </w:r>
      <w:r w:rsidRPr="008E2B3B">
        <w:rPr>
          <w:rFonts w:eastAsia="宋体"/>
          <w:kern w:val="0"/>
          <w:szCs w:val="20"/>
        </w:rPr>
        <w:t>"</w:t>
      </w:r>
      <w:r w:rsidRPr="008E2B3B">
        <w:rPr>
          <w:rFonts w:eastAsia="宋体"/>
          <w:kern w:val="0"/>
          <w:szCs w:val="20"/>
        </w:rPr>
        <w:t>，综合环境评估和管理，第</w:t>
      </w:r>
      <w:r w:rsidRPr="008E2B3B">
        <w:rPr>
          <w:rFonts w:eastAsia="宋体"/>
          <w:kern w:val="0"/>
          <w:szCs w:val="20"/>
        </w:rPr>
        <w:t>13</w:t>
      </w:r>
      <w:r w:rsidRPr="008E2B3B">
        <w:rPr>
          <w:rFonts w:eastAsia="宋体"/>
          <w:kern w:val="0"/>
          <w:szCs w:val="20"/>
        </w:rPr>
        <w:t>卷，第</w:t>
      </w:r>
      <w:r w:rsidRPr="008E2B3B">
        <w:rPr>
          <w:rFonts w:eastAsia="宋体"/>
          <w:kern w:val="0"/>
          <w:szCs w:val="20"/>
        </w:rPr>
        <w:t>4</w:t>
      </w:r>
      <w:r w:rsidRPr="008E2B3B">
        <w:rPr>
          <w:rFonts w:eastAsia="宋体"/>
          <w:kern w:val="0"/>
          <w:szCs w:val="20"/>
        </w:rPr>
        <w:t>期，</w:t>
      </w:r>
      <w:r w:rsidRPr="008E2B3B">
        <w:rPr>
          <w:rFonts w:eastAsia="宋体"/>
          <w:kern w:val="0"/>
          <w:szCs w:val="20"/>
        </w:rPr>
        <w:t>2017</w:t>
      </w:r>
      <w:r w:rsidRPr="008E2B3B">
        <w:rPr>
          <w:rFonts w:eastAsia="宋体"/>
          <w:kern w:val="0"/>
          <w:szCs w:val="20"/>
        </w:rPr>
        <w:t>年，第</w:t>
      </w:r>
      <w:r w:rsidRPr="008E2B3B">
        <w:rPr>
          <w:rFonts w:eastAsia="宋体"/>
          <w:kern w:val="0"/>
          <w:szCs w:val="20"/>
        </w:rPr>
        <w:t>640-651</w:t>
      </w:r>
      <w:r w:rsidRPr="008E2B3B">
        <w:rPr>
          <w:rFonts w:eastAsia="宋体"/>
          <w:kern w:val="0"/>
          <w:szCs w:val="20"/>
        </w:rPr>
        <w:t>期。</w:t>
      </w:r>
    </w:p>
    <w:p w14:paraId="0C8C5BF4"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21</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国家研究委员会，联邦政府风险评估：管理过程，国家科学院出版社，华盛顿特区，</w:t>
      </w:r>
      <w:r w:rsidRPr="008E2B3B">
        <w:rPr>
          <w:rFonts w:eastAsia="宋体"/>
          <w:kern w:val="0"/>
          <w:szCs w:val="20"/>
        </w:rPr>
        <w:t>1983</w:t>
      </w:r>
      <w:r w:rsidRPr="008E2B3B">
        <w:rPr>
          <w:rFonts w:eastAsia="宋体"/>
          <w:kern w:val="0"/>
          <w:szCs w:val="20"/>
        </w:rPr>
        <w:t>年，第</w:t>
      </w:r>
      <w:r w:rsidRPr="008E2B3B">
        <w:rPr>
          <w:rFonts w:eastAsia="宋体"/>
          <w:kern w:val="0"/>
          <w:szCs w:val="20"/>
        </w:rPr>
        <w:t>191</w:t>
      </w:r>
      <w:r w:rsidRPr="008E2B3B">
        <w:rPr>
          <w:rFonts w:eastAsia="宋体"/>
          <w:kern w:val="0"/>
          <w:szCs w:val="20"/>
        </w:rPr>
        <w:t>页。</w:t>
      </w:r>
    </w:p>
    <w:p w14:paraId="7FB06A31"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22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国家研究委员会，风险评估的科学与判断，国家科学院出版社，华盛顿特区，</w:t>
      </w:r>
      <w:r w:rsidRPr="008E2B3B">
        <w:rPr>
          <w:rFonts w:eastAsia="宋体"/>
          <w:kern w:val="0"/>
          <w:szCs w:val="20"/>
        </w:rPr>
        <w:t>1994</w:t>
      </w:r>
      <w:r w:rsidRPr="008E2B3B">
        <w:rPr>
          <w:rFonts w:eastAsia="宋体"/>
          <w:kern w:val="0"/>
          <w:szCs w:val="20"/>
        </w:rPr>
        <w:t>年，</w:t>
      </w:r>
      <w:r w:rsidRPr="008E2B3B">
        <w:rPr>
          <w:rFonts w:eastAsia="宋体"/>
          <w:kern w:val="0"/>
          <w:szCs w:val="20"/>
        </w:rPr>
        <w:t>672</w:t>
      </w:r>
      <w:r w:rsidRPr="008E2B3B">
        <w:rPr>
          <w:rFonts w:eastAsia="宋体"/>
          <w:kern w:val="0"/>
          <w:szCs w:val="20"/>
        </w:rPr>
        <w:t>页。</w:t>
      </w:r>
    </w:p>
    <w:p w14:paraId="2DE6CFBD"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23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w:t>
      </w:r>
      <w:r w:rsidRPr="008E2B3B">
        <w:rPr>
          <w:rFonts w:eastAsia="宋体"/>
          <w:kern w:val="0"/>
          <w:szCs w:val="20"/>
        </w:rPr>
        <w:t>关于根据毒理学关注阈值（</w:t>
      </w:r>
      <w:r w:rsidRPr="008E2B3B">
        <w:rPr>
          <w:rFonts w:eastAsia="宋体"/>
          <w:kern w:val="0"/>
          <w:szCs w:val="20"/>
        </w:rPr>
        <w:t>TTC</w:t>
      </w:r>
      <w:r w:rsidRPr="008E2B3B">
        <w:rPr>
          <w:rFonts w:eastAsia="宋体"/>
          <w:kern w:val="0"/>
          <w:szCs w:val="20"/>
        </w:rPr>
        <w:t>）概念探索就可能的人类健康风险提供建议的备选方案的科学意见</w:t>
      </w:r>
      <w:r w:rsidRPr="008E2B3B">
        <w:rPr>
          <w:rFonts w:eastAsia="宋体"/>
          <w:kern w:val="0"/>
          <w:szCs w:val="20"/>
        </w:rPr>
        <w:t>"</w:t>
      </w:r>
      <w:r w:rsidRPr="008E2B3B">
        <w:rPr>
          <w:rFonts w:eastAsia="宋体"/>
          <w:kern w:val="0"/>
          <w:szCs w:val="20"/>
        </w:rPr>
        <w:t>，《</w:t>
      </w:r>
      <w:r w:rsidRPr="008E2B3B">
        <w:rPr>
          <w:rFonts w:eastAsia="宋体"/>
          <w:kern w:val="0"/>
          <w:szCs w:val="20"/>
        </w:rPr>
        <w:t>EFSA</w:t>
      </w:r>
      <w:r w:rsidRPr="008E2B3B">
        <w:rPr>
          <w:rFonts w:eastAsia="宋体"/>
          <w:kern w:val="0"/>
          <w:szCs w:val="20"/>
        </w:rPr>
        <w:t>杂志》，第</w:t>
      </w:r>
      <w:r w:rsidRPr="008E2B3B">
        <w:rPr>
          <w:rFonts w:eastAsia="宋体"/>
          <w:kern w:val="0"/>
          <w:szCs w:val="20"/>
        </w:rPr>
        <w:t>10</w:t>
      </w:r>
      <w:r w:rsidRPr="008E2B3B">
        <w:rPr>
          <w:rFonts w:eastAsia="宋体"/>
          <w:kern w:val="0"/>
          <w:szCs w:val="20"/>
        </w:rPr>
        <w:t>卷，</w:t>
      </w:r>
      <w:r w:rsidRPr="008E2B3B">
        <w:rPr>
          <w:rFonts w:eastAsia="宋体"/>
          <w:kern w:val="0"/>
          <w:szCs w:val="20"/>
        </w:rPr>
        <w:t>2012</w:t>
      </w:r>
      <w:r w:rsidRPr="008E2B3B">
        <w:rPr>
          <w:rFonts w:eastAsia="宋体"/>
          <w:kern w:val="0"/>
          <w:szCs w:val="20"/>
        </w:rPr>
        <w:t>年第</w:t>
      </w:r>
      <w:r w:rsidRPr="008E2B3B">
        <w:rPr>
          <w:rFonts w:eastAsia="宋体"/>
          <w:kern w:val="0"/>
          <w:szCs w:val="20"/>
        </w:rPr>
        <w:t>7</w:t>
      </w:r>
      <w:r w:rsidRPr="008E2B3B">
        <w:rPr>
          <w:rFonts w:eastAsia="宋体"/>
          <w:kern w:val="0"/>
          <w:szCs w:val="20"/>
        </w:rPr>
        <w:t>号。</w:t>
      </w:r>
    </w:p>
    <w:p w14:paraId="0ABC5BE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24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EFSA</w:t>
      </w:r>
      <w:r w:rsidRPr="008E2B3B">
        <w:rPr>
          <w:rFonts w:eastAsia="宋体"/>
          <w:kern w:val="0"/>
          <w:szCs w:val="20"/>
        </w:rPr>
        <w:t>，</w:t>
      </w:r>
      <w:r w:rsidRPr="008E2B3B">
        <w:rPr>
          <w:rFonts w:eastAsia="宋体"/>
          <w:kern w:val="0"/>
          <w:szCs w:val="20"/>
        </w:rPr>
        <w:t>"</w:t>
      </w:r>
      <w:r w:rsidRPr="008E2B3B">
        <w:rPr>
          <w:rFonts w:eastAsia="宋体"/>
          <w:kern w:val="0"/>
          <w:szCs w:val="20"/>
        </w:rPr>
        <w:t>对毒理学关注阈值（</w:t>
      </w:r>
      <w:r w:rsidRPr="008E2B3B">
        <w:rPr>
          <w:rFonts w:eastAsia="宋体"/>
          <w:kern w:val="0"/>
          <w:szCs w:val="20"/>
        </w:rPr>
        <w:t>TTC</w:t>
      </w:r>
      <w:r w:rsidRPr="008E2B3B">
        <w:rPr>
          <w:rFonts w:eastAsia="宋体"/>
          <w:kern w:val="0"/>
          <w:szCs w:val="20"/>
        </w:rPr>
        <w:t>）方法的审查及开发新的</w:t>
      </w:r>
      <w:r w:rsidRPr="008E2B3B">
        <w:rPr>
          <w:rFonts w:eastAsia="宋体"/>
          <w:kern w:val="0"/>
          <w:szCs w:val="20"/>
        </w:rPr>
        <w:t>TTC</w:t>
      </w:r>
      <w:r w:rsidRPr="008E2B3B">
        <w:rPr>
          <w:rFonts w:eastAsia="宋体"/>
          <w:kern w:val="0"/>
          <w:szCs w:val="20"/>
        </w:rPr>
        <w:t>决策树</w:t>
      </w:r>
      <w:r w:rsidRPr="008E2B3B">
        <w:rPr>
          <w:rFonts w:eastAsia="宋体"/>
          <w:kern w:val="0"/>
          <w:szCs w:val="20"/>
        </w:rPr>
        <w:t>"</w:t>
      </w:r>
      <w:r w:rsidRPr="008E2B3B">
        <w:rPr>
          <w:rFonts w:eastAsia="宋体"/>
          <w:kern w:val="0"/>
          <w:szCs w:val="20"/>
        </w:rPr>
        <w:t>，</w:t>
      </w:r>
      <w:r w:rsidRPr="008E2B3B">
        <w:rPr>
          <w:rFonts w:eastAsia="宋体"/>
          <w:kern w:val="0"/>
          <w:szCs w:val="20"/>
        </w:rPr>
        <w:t>2016</w:t>
      </w:r>
      <w:r w:rsidRPr="008E2B3B">
        <w:rPr>
          <w:rFonts w:eastAsia="宋体"/>
          <w:kern w:val="0"/>
          <w:szCs w:val="20"/>
        </w:rPr>
        <w:t>年，第</w:t>
      </w:r>
      <w:r w:rsidRPr="008E2B3B">
        <w:rPr>
          <w:rFonts w:eastAsia="宋体"/>
          <w:kern w:val="0"/>
          <w:szCs w:val="20"/>
        </w:rPr>
        <w:t>50</w:t>
      </w:r>
      <w:r w:rsidRPr="008E2B3B">
        <w:rPr>
          <w:rFonts w:eastAsia="宋体"/>
          <w:kern w:val="0"/>
          <w:szCs w:val="20"/>
        </w:rPr>
        <w:t>。</w:t>
      </w:r>
    </w:p>
    <w:p w14:paraId="771E8960"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25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美国环境保护署，蒙特卡洛分析指导原则，风险评估论坛，华盛顿特区，</w:t>
      </w:r>
      <w:r w:rsidRPr="008E2B3B">
        <w:rPr>
          <w:rFonts w:eastAsia="宋体"/>
          <w:kern w:val="0"/>
          <w:szCs w:val="20"/>
        </w:rPr>
        <w:t>1997</w:t>
      </w:r>
      <w:r w:rsidRPr="008E2B3B">
        <w:rPr>
          <w:rFonts w:eastAsia="宋体"/>
          <w:kern w:val="0"/>
          <w:szCs w:val="20"/>
        </w:rPr>
        <w:t>年。</w:t>
      </w:r>
    </w:p>
    <w:p w14:paraId="69892D9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26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EFSA</w:t>
      </w:r>
      <w:r w:rsidRPr="008E2B3B">
        <w:rPr>
          <w:rFonts w:eastAsia="宋体"/>
          <w:kern w:val="0"/>
          <w:szCs w:val="20"/>
        </w:rPr>
        <w:t>科学委员会，</w:t>
      </w:r>
      <w:r w:rsidRPr="008E2B3B">
        <w:rPr>
          <w:rFonts w:eastAsia="宋体"/>
          <w:kern w:val="0"/>
          <w:szCs w:val="20"/>
        </w:rPr>
        <w:t>"EFSA</w:t>
      </w:r>
      <w:r w:rsidRPr="008E2B3B">
        <w:rPr>
          <w:rFonts w:eastAsia="宋体"/>
          <w:kern w:val="0"/>
          <w:szCs w:val="20"/>
        </w:rPr>
        <w:t>科学评估中不确定性分析指南背后的原则和方法</w:t>
      </w:r>
      <w:r w:rsidRPr="008E2B3B">
        <w:rPr>
          <w:rFonts w:eastAsia="宋体"/>
          <w:kern w:val="0"/>
          <w:szCs w:val="20"/>
        </w:rPr>
        <w:t>"</w:t>
      </w:r>
      <w:r w:rsidRPr="008E2B3B">
        <w:rPr>
          <w:rFonts w:eastAsia="宋体"/>
          <w:kern w:val="0"/>
          <w:szCs w:val="20"/>
        </w:rPr>
        <w:t>，</w:t>
      </w:r>
      <w:r w:rsidRPr="008E2B3B">
        <w:rPr>
          <w:rFonts w:eastAsia="宋体"/>
          <w:kern w:val="0"/>
          <w:szCs w:val="20"/>
        </w:rPr>
        <w:t>EFSA</w:t>
      </w:r>
      <w:r w:rsidRPr="008E2B3B">
        <w:rPr>
          <w:rFonts w:eastAsia="宋体"/>
          <w:kern w:val="0"/>
          <w:szCs w:val="20"/>
        </w:rPr>
        <w:t>杂志，第</w:t>
      </w:r>
      <w:r w:rsidRPr="008E2B3B">
        <w:rPr>
          <w:rFonts w:eastAsia="宋体"/>
          <w:kern w:val="0"/>
          <w:szCs w:val="20"/>
        </w:rPr>
        <w:t>16</w:t>
      </w:r>
      <w:r w:rsidRPr="008E2B3B">
        <w:rPr>
          <w:rFonts w:eastAsia="宋体"/>
          <w:kern w:val="0"/>
          <w:szCs w:val="20"/>
        </w:rPr>
        <w:t>卷，第</w:t>
      </w:r>
      <w:r w:rsidRPr="008E2B3B">
        <w:rPr>
          <w:rFonts w:eastAsia="宋体"/>
          <w:kern w:val="0"/>
          <w:szCs w:val="20"/>
        </w:rPr>
        <w:t>1018</w:t>
      </w:r>
      <w:r w:rsidRPr="008E2B3B">
        <w:rPr>
          <w:rFonts w:eastAsia="宋体"/>
          <w:kern w:val="0"/>
          <w:szCs w:val="20"/>
        </w:rPr>
        <w:t>号，第</w:t>
      </w:r>
      <w:r w:rsidRPr="008E2B3B">
        <w:rPr>
          <w:rFonts w:eastAsia="宋体"/>
          <w:kern w:val="0"/>
          <w:szCs w:val="20"/>
        </w:rPr>
        <w:t>5122</w:t>
      </w:r>
      <w:r w:rsidRPr="008E2B3B">
        <w:rPr>
          <w:rFonts w:eastAsia="宋体"/>
          <w:kern w:val="0"/>
          <w:szCs w:val="20"/>
        </w:rPr>
        <w:t>。</w:t>
      </w:r>
    </w:p>
    <w:p w14:paraId="4EA80F71"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27</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"EudraLex</w:t>
      </w:r>
      <w:r w:rsidRPr="008E2B3B">
        <w:rPr>
          <w:rFonts w:eastAsia="宋体"/>
          <w:kern w:val="0"/>
          <w:szCs w:val="20"/>
        </w:rPr>
        <w:t>：欧盟药品管理规则</w:t>
      </w:r>
      <w:r w:rsidRPr="008E2B3B">
        <w:rPr>
          <w:rFonts w:eastAsia="宋体"/>
          <w:kern w:val="0"/>
          <w:szCs w:val="20"/>
        </w:rPr>
        <w:t>"</w:t>
      </w:r>
      <w:r w:rsidRPr="008E2B3B">
        <w:rPr>
          <w:rFonts w:eastAsia="宋体"/>
          <w:kern w:val="0"/>
          <w:szCs w:val="20"/>
        </w:rPr>
        <w:t>，第</w:t>
      </w:r>
      <w:r w:rsidRPr="008E2B3B">
        <w:rPr>
          <w:rFonts w:eastAsia="宋体"/>
          <w:kern w:val="0"/>
          <w:szCs w:val="20"/>
        </w:rPr>
        <w:t>4</w:t>
      </w:r>
      <w:r w:rsidRPr="008E2B3B">
        <w:rPr>
          <w:rFonts w:eastAsia="宋体"/>
          <w:kern w:val="0"/>
          <w:szCs w:val="20"/>
        </w:rPr>
        <w:t>卷，《欧盟人类和兽医用药药品良好生产规范指南》第</w:t>
      </w:r>
      <w:r w:rsidRPr="008E2B3B">
        <w:rPr>
          <w:rFonts w:eastAsia="宋体"/>
          <w:kern w:val="0"/>
          <w:szCs w:val="20"/>
        </w:rPr>
        <w:t>1</w:t>
      </w:r>
      <w:r w:rsidRPr="008E2B3B">
        <w:rPr>
          <w:rFonts w:eastAsia="宋体"/>
          <w:kern w:val="0"/>
          <w:szCs w:val="20"/>
        </w:rPr>
        <w:t>部分，第</w:t>
      </w:r>
      <w:r w:rsidRPr="008E2B3B">
        <w:rPr>
          <w:rFonts w:eastAsia="宋体"/>
          <w:kern w:val="0"/>
          <w:szCs w:val="20"/>
        </w:rPr>
        <w:t>5</w:t>
      </w:r>
      <w:r w:rsidRPr="008E2B3B">
        <w:rPr>
          <w:rFonts w:eastAsia="宋体"/>
          <w:kern w:val="0"/>
          <w:szCs w:val="20"/>
        </w:rPr>
        <w:t>章：生产、卫生和消费者总局，欧盟委员会，布鲁塞尔，比利时，</w:t>
      </w:r>
      <w:r w:rsidRPr="008E2B3B">
        <w:rPr>
          <w:rFonts w:eastAsia="宋体"/>
          <w:kern w:val="0"/>
          <w:szCs w:val="20"/>
        </w:rPr>
        <w:t>2014</w:t>
      </w:r>
      <w:r w:rsidRPr="008E2B3B">
        <w:rPr>
          <w:rFonts w:eastAsia="宋体"/>
          <w:kern w:val="0"/>
          <w:szCs w:val="20"/>
        </w:rPr>
        <w:t>年，第</w:t>
      </w:r>
      <w:r w:rsidRPr="008E2B3B">
        <w:rPr>
          <w:rFonts w:eastAsia="宋体"/>
          <w:kern w:val="0"/>
          <w:szCs w:val="20"/>
        </w:rPr>
        <w:t>12</w:t>
      </w:r>
      <w:r w:rsidRPr="008E2B3B">
        <w:rPr>
          <w:rFonts w:eastAsia="宋体"/>
          <w:kern w:val="0"/>
          <w:szCs w:val="20"/>
        </w:rPr>
        <w:t>章。</w:t>
      </w:r>
    </w:p>
    <w:p w14:paraId="2065445C"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28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"EudraLex</w:t>
      </w:r>
      <w:r w:rsidRPr="008E2B3B">
        <w:rPr>
          <w:rFonts w:eastAsia="宋体"/>
          <w:kern w:val="0"/>
          <w:szCs w:val="20"/>
        </w:rPr>
        <w:t>：欧盟药品管理规则</w:t>
      </w:r>
      <w:r w:rsidRPr="008E2B3B">
        <w:rPr>
          <w:rFonts w:eastAsia="宋体"/>
          <w:kern w:val="0"/>
          <w:szCs w:val="20"/>
        </w:rPr>
        <w:t>"</w:t>
      </w:r>
      <w:r w:rsidRPr="008E2B3B">
        <w:rPr>
          <w:rFonts w:eastAsia="宋体"/>
          <w:kern w:val="0"/>
          <w:szCs w:val="20"/>
        </w:rPr>
        <w:t>，第</w:t>
      </w:r>
      <w:r w:rsidRPr="008E2B3B">
        <w:rPr>
          <w:rFonts w:eastAsia="宋体"/>
          <w:kern w:val="0"/>
          <w:szCs w:val="20"/>
        </w:rPr>
        <w:t>4</w:t>
      </w:r>
      <w:r w:rsidRPr="008E2B3B">
        <w:rPr>
          <w:rFonts w:eastAsia="宋体"/>
          <w:kern w:val="0"/>
          <w:szCs w:val="20"/>
        </w:rPr>
        <w:t>卷，欧盟人类和兽医用药产品良好生产规范准则。第</w:t>
      </w:r>
      <w:r w:rsidRPr="008E2B3B">
        <w:rPr>
          <w:rFonts w:eastAsia="宋体"/>
          <w:kern w:val="0"/>
          <w:szCs w:val="20"/>
        </w:rPr>
        <w:t>1</w:t>
      </w:r>
      <w:r w:rsidRPr="008E2B3B">
        <w:rPr>
          <w:rFonts w:eastAsia="宋体"/>
          <w:kern w:val="0"/>
          <w:szCs w:val="20"/>
        </w:rPr>
        <w:t>部分，第</w:t>
      </w:r>
      <w:r w:rsidRPr="008E2B3B">
        <w:rPr>
          <w:rFonts w:eastAsia="宋体"/>
          <w:kern w:val="0"/>
          <w:szCs w:val="20"/>
        </w:rPr>
        <w:t>3</w:t>
      </w:r>
      <w:r w:rsidRPr="008E2B3B">
        <w:rPr>
          <w:rFonts w:eastAsia="宋体"/>
          <w:kern w:val="0"/>
          <w:szCs w:val="20"/>
        </w:rPr>
        <w:t>章：欧洲联盟委员会总干事房地和设备，卫生和消费者总局，比利时布鲁塞尔，</w:t>
      </w:r>
      <w:r w:rsidRPr="008E2B3B">
        <w:rPr>
          <w:rFonts w:eastAsia="宋体"/>
          <w:kern w:val="0"/>
          <w:szCs w:val="20"/>
        </w:rPr>
        <w:t>2014</w:t>
      </w:r>
      <w:r w:rsidRPr="008E2B3B">
        <w:rPr>
          <w:rFonts w:eastAsia="宋体"/>
          <w:kern w:val="0"/>
          <w:szCs w:val="20"/>
        </w:rPr>
        <w:t>年，第</w:t>
      </w:r>
      <w:r w:rsidRPr="008E2B3B">
        <w:rPr>
          <w:rFonts w:eastAsia="宋体"/>
          <w:kern w:val="0"/>
          <w:szCs w:val="20"/>
        </w:rPr>
        <w:t>5</w:t>
      </w:r>
      <w:r w:rsidRPr="008E2B3B">
        <w:rPr>
          <w:rFonts w:eastAsia="宋体"/>
          <w:kern w:val="0"/>
          <w:szCs w:val="20"/>
        </w:rPr>
        <w:t>章。</w:t>
      </w:r>
    </w:p>
    <w:p w14:paraId="67FC3CE2" w14:textId="77777777" w:rsidR="00EC1A52" w:rsidRPr="008E2B3B" w:rsidRDefault="00EC1A52" w:rsidP="00EC1A52">
      <w:pPr>
        <w:spacing w:after="13" w:line="254"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29</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基准制药工程指南：基于风险的药品制造：管理与交叉污染相关的风险指南，第</w:t>
      </w:r>
      <w:r w:rsidRPr="008E2B3B">
        <w:rPr>
          <w:rFonts w:eastAsia="宋体"/>
          <w:kern w:val="0"/>
          <w:szCs w:val="20"/>
        </w:rPr>
        <w:t>2</w:t>
      </w:r>
      <w:r w:rsidRPr="008E2B3B">
        <w:rPr>
          <w:rFonts w:eastAsia="宋体"/>
          <w:kern w:val="0"/>
          <w:szCs w:val="20"/>
        </w:rPr>
        <w:t>卷，</w:t>
      </w:r>
      <w:r w:rsidRPr="008E2B3B">
        <w:rPr>
          <w:rFonts w:eastAsia="宋体"/>
          <w:kern w:val="0"/>
          <w:szCs w:val="20"/>
        </w:rPr>
        <w:t>2017</w:t>
      </w:r>
      <w:r w:rsidRPr="008E2B3B">
        <w:rPr>
          <w:rFonts w:eastAsia="宋体"/>
          <w:kern w:val="0"/>
          <w:szCs w:val="20"/>
        </w:rPr>
        <w:t>年第</w:t>
      </w:r>
      <w:r w:rsidRPr="008E2B3B">
        <w:rPr>
          <w:rFonts w:eastAsia="宋体"/>
          <w:kern w:val="0"/>
          <w:szCs w:val="20"/>
        </w:rPr>
        <w:t>7</w:t>
      </w:r>
      <w:r w:rsidRPr="008E2B3B">
        <w:rPr>
          <w:rFonts w:eastAsia="宋体"/>
          <w:kern w:val="0"/>
          <w:szCs w:val="20"/>
        </w:rPr>
        <w:t>卷，</w:t>
      </w:r>
      <w:r w:rsidRPr="008E2B3B">
        <w:rPr>
          <w:rFonts w:eastAsia="宋体"/>
          <w:kern w:val="0"/>
          <w:szCs w:val="20"/>
        </w:rPr>
        <w:t>ISPE</w:t>
      </w:r>
      <w:r w:rsidRPr="008E2B3B">
        <w:rPr>
          <w:rFonts w:eastAsia="宋体"/>
          <w:kern w:val="0"/>
          <w:szCs w:val="20"/>
        </w:rPr>
        <w:t>，坦帕，佛罗里达州，</w:t>
      </w:r>
      <w:r w:rsidRPr="008E2B3B">
        <w:rPr>
          <w:rFonts w:eastAsia="宋体"/>
          <w:kern w:val="0"/>
          <w:szCs w:val="20"/>
        </w:rPr>
        <w:t>176</w:t>
      </w:r>
      <w:r w:rsidRPr="008E2B3B">
        <w:rPr>
          <w:rFonts w:eastAsia="宋体"/>
          <w:kern w:val="0"/>
          <w:szCs w:val="20"/>
        </w:rPr>
        <w:t>页。</w:t>
      </w:r>
    </w:p>
    <w:p w14:paraId="52B8A489"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30</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ABT</w:t>
      </w:r>
      <w:r w:rsidRPr="008E2B3B">
        <w:rPr>
          <w:rFonts w:eastAsia="宋体"/>
          <w:kern w:val="0"/>
          <w:szCs w:val="20"/>
        </w:rPr>
        <w:t>认证手册，美国毒理学委员会，更新</w:t>
      </w:r>
      <w:r w:rsidRPr="008E2B3B">
        <w:rPr>
          <w:rFonts w:eastAsia="宋体"/>
          <w:kern w:val="0"/>
          <w:szCs w:val="20"/>
        </w:rPr>
        <w:t>2018</w:t>
      </w:r>
      <w:r w:rsidRPr="008E2B3B">
        <w:rPr>
          <w:rFonts w:eastAsia="宋体"/>
          <w:kern w:val="0"/>
          <w:szCs w:val="20"/>
        </w:rPr>
        <w:t>年</w:t>
      </w:r>
      <w:r w:rsidRPr="008E2B3B">
        <w:rPr>
          <w:rFonts w:eastAsia="宋体"/>
          <w:kern w:val="0"/>
          <w:szCs w:val="20"/>
        </w:rPr>
        <w:t>4</w:t>
      </w:r>
      <w:r w:rsidRPr="008E2B3B">
        <w:rPr>
          <w:rFonts w:eastAsia="宋体"/>
          <w:kern w:val="0"/>
          <w:szCs w:val="20"/>
        </w:rPr>
        <w:t>月，</w:t>
      </w:r>
      <w:r w:rsidRPr="008E2B3B">
        <w:rPr>
          <w:rFonts w:eastAsia="宋体"/>
          <w:kern w:val="0"/>
          <w:szCs w:val="20"/>
        </w:rPr>
        <w:t>https://www.abtox.org/wp-content/uploads/2019/02/</w:t>
      </w:r>
      <w:r w:rsidRPr="008E2B3B">
        <w:rPr>
          <w:rFonts w:eastAsia="宋体"/>
          <w:kern w:val="0"/>
          <w:szCs w:val="20"/>
        </w:rPr>
        <w:t>认证手册</w:t>
      </w:r>
      <w:r w:rsidRPr="008E2B3B">
        <w:rPr>
          <w:rFonts w:eastAsia="宋体"/>
          <w:kern w:val="0"/>
          <w:szCs w:val="20"/>
        </w:rPr>
        <w:t>-2019.pdf</w:t>
      </w:r>
      <w:r w:rsidRPr="008E2B3B">
        <w:rPr>
          <w:rFonts w:eastAsia="宋体"/>
          <w:kern w:val="0"/>
          <w:szCs w:val="20"/>
        </w:rPr>
        <w:t>。</w:t>
      </w:r>
    </w:p>
    <w:p w14:paraId="108CEDF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31</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欧洲注册毒理学家（</w:t>
      </w:r>
      <w:r w:rsidRPr="008E2B3B">
        <w:rPr>
          <w:rFonts w:eastAsia="宋体"/>
          <w:kern w:val="0"/>
          <w:szCs w:val="20"/>
        </w:rPr>
        <w:t>ERT</w:t>
      </w:r>
      <w:r w:rsidRPr="008E2B3B">
        <w:rPr>
          <w:rFonts w:eastAsia="宋体"/>
          <w:kern w:val="0"/>
          <w:szCs w:val="20"/>
        </w:rPr>
        <w:t>）：注册指南，</w:t>
      </w:r>
      <w:r w:rsidRPr="008E2B3B">
        <w:rPr>
          <w:rFonts w:eastAsia="宋体"/>
          <w:kern w:val="0"/>
          <w:szCs w:val="20"/>
        </w:rPr>
        <w:t>2016</w:t>
      </w:r>
      <w:r w:rsidRPr="008E2B3B">
        <w:rPr>
          <w:rFonts w:eastAsia="宋体"/>
          <w:kern w:val="0"/>
          <w:szCs w:val="20"/>
        </w:rPr>
        <w:t>年，</w:t>
      </w:r>
      <w:r w:rsidRPr="008E2B3B">
        <w:rPr>
          <w:rFonts w:eastAsia="宋体"/>
          <w:kern w:val="0"/>
          <w:szCs w:val="20"/>
        </w:rPr>
        <w:t>http://www.eurotox.com/sub/eurotox.com/</w:t>
      </w:r>
      <w:r w:rsidRPr="008E2B3B">
        <w:rPr>
          <w:rFonts w:eastAsia="宋体"/>
          <w:kern w:val="0"/>
          <w:szCs w:val="20"/>
        </w:rPr>
        <w:t>图像</w:t>
      </w:r>
      <w:r w:rsidRPr="008E2B3B">
        <w:rPr>
          <w:rFonts w:eastAsia="宋体"/>
          <w:kern w:val="0"/>
          <w:szCs w:val="20"/>
        </w:rPr>
        <w:t>/</w:t>
      </w:r>
      <w:proofErr w:type="spellStart"/>
      <w:r w:rsidRPr="008E2B3B">
        <w:rPr>
          <w:rFonts w:eastAsia="宋体"/>
          <w:kern w:val="0"/>
          <w:szCs w:val="20"/>
        </w:rPr>
        <w:t>ert</w:t>
      </w:r>
      <w:proofErr w:type="spellEnd"/>
      <w:r w:rsidRPr="008E2B3B">
        <w:rPr>
          <w:rFonts w:eastAsia="宋体"/>
          <w:kern w:val="0"/>
          <w:szCs w:val="20"/>
        </w:rPr>
        <w:t>/</w:t>
      </w:r>
      <w:proofErr w:type="spellStart"/>
      <w:r w:rsidRPr="008E2B3B">
        <w:rPr>
          <w:rFonts w:eastAsia="宋体"/>
          <w:kern w:val="0"/>
          <w:szCs w:val="20"/>
        </w:rPr>
        <w:t>ert</w:t>
      </w:r>
      <w:proofErr w:type="spellEnd"/>
      <w:r w:rsidRPr="008E2B3B">
        <w:rPr>
          <w:rFonts w:eastAsia="宋体"/>
          <w:kern w:val="0"/>
          <w:szCs w:val="20"/>
        </w:rPr>
        <w:t>指南更新</w:t>
      </w:r>
      <w:r w:rsidRPr="008E2B3B">
        <w:rPr>
          <w:rFonts w:eastAsia="宋体"/>
          <w:kern w:val="0"/>
          <w:szCs w:val="20"/>
        </w:rPr>
        <w:t>-2016/</w:t>
      </w:r>
      <w:proofErr w:type="spellStart"/>
      <w:r w:rsidRPr="008E2B3B">
        <w:rPr>
          <w:rFonts w:eastAsia="宋体"/>
          <w:kern w:val="0"/>
          <w:szCs w:val="20"/>
        </w:rPr>
        <w:t>ERT_GUIDELINES_Main</w:t>
      </w:r>
      <w:proofErr w:type="spellEnd"/>
      <w:r w:rsidRPr="008E2B3B">
        <w:rPr>
          <w:rFonts w:eastAsia="宋体"/>
          <w:kern w:val="0"/>
          <w:szCs w:val="20"/>
        </w:rPr>
        <w:t>_ text_2016.pdf</w:t>
      </w:r>
      <w:r w:rsidRPr="008E2B3B">
        <w:rPr>
          <w:rFonts w:eastAsia="宋体"/>
          <w:kern w:val="0"/>
          <w:szCs w:val="20"/>
        </w:rPr>
        <w:t>。</w:t>
      </w:r>
    </w:p>
    <w:p w14:paraId="0992008A"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32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联合研究中心，</w:t>
      </w:r>
      <w:proofErr w:type="spellStart"/>
      <w:r w:rsidRPr="008E2B3B">
        <w:rPr>
          <w:rFonts w:eastAsia="宋体"/>
          <w:kern w:val="0"/>
          <w:szCs w:val="20"/>
        </w:rPr>
        <w:t>ToxRTool</w:t>
      </w:r>
      <w:proofErr w:type="spellEnd"/>
      <w:r w:rsidRPr="008E2B3B">
        <w:rPr>
          <w:rFonts w:eastAsia="宋体"/>
          <w:kern w:val="0"/>
          <w:szCs w:val="20"/>
        </w:rPr>
        <w:t xml:space="preserve"> – </w:t>
      </w:r>
      <w:r w:rsidRPr="008E2B3B">
        <w:rPr>
          <w:rFonts w:eastAsia="宋体"/>
          <w:kern w:val="0"/>
          <w:szCs w:val="20"/>
        </w:rPr>
        <w:t>毒理学数据可靠性评估工具，欧盟委员会，</w:t>
      </w:r>
      <w:r w:rsidRPr="008E2B3B">
        <w:rPr>
          <w:rFonts w:eastAsia="宋体"/>
          <w:kern w:val="0"/>
          <w:szCs w:val="20"/>
        </w:rPr>
        <w:t>2017</w:t>
      </w:r>
      <w:r w:rsidRPr="008E2B3B">
        <w:rPr>
          <w:rFonts w:eastAsia="宋体"/>
          <w:kern w:val="0"/>
          <w:szCs w:val="20"/>
        </w:rPr>
        <w:t>年。</w:t>
      </w:r>
    </w:p>
    <w:p w14:paraId="412B5F8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33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西，</w:t>
      </w:r>
      <w:r w:rsidRPr="008E2B3B">
        <w:rPr>
          <w:rFonts w:eastAsia="宋体"/>
          <w:kern w:val="0"/>
          <w:szCs w:val="20"/>
        </w:rPr>
        <w:t>S.</w:t>
      </w:r>
      <w:r w:rsidRPr="008E2B3B">
        <w:rPr>
          <w:rFonts w:eastAsia="宋体"/>
          <w:kern w:val="0"/>
          <w:szCs w:val="20"/>
        </w:rPr>
        <w:t>等人，</w:t>
      </w:r>
      <w:r w:rsidRPr="008E2B3B">
        <w:rPr>
          <w:rFonts w:eastAsia="宋体"/>
          <w:kern w:val="0"/>
          <w:szCs w:val="20"/>
        </w:rPr>
        <w:t>"</w:t>
      </w:r>
      <w:r w:rsidRPr="008E2B3B">
        <w:rPr>
          <w:rFonts w:eastAsia="宋体"/>
          <w:kern w:val="0"/>
          <w:szCs w:val="20"/>
        </w:rPr>
        <w:t>科学证据强度的评价系统</w:t>
      </w:r>
      <w:r w:rsidRPr="008E2B3B">
        <w:rPr>
          <w:rFonts w:eastAsia="宋体"/>
          <w:kern w:val="0"/>
          <w:szCs w:val="20"/>
        </w:rPr>
        <w:t>"</w:t>
      </w:r>
      <w:r w:rsidRPr="008E2B3B">
        <w:rPr>
          <w:rFonts w:eastAsia="宋体"/>
          <w:kern w:val="0"/>
          <w:szCs w:val="20"/>
        </w:rPr>
        <w:t>，在证据报告</w:t>
      </w:r>
      <w:r w:rsidRPr="008E2B3B">
        <w:rPr>
          <w:rFonts w:eastAsia="宋体"/>
          <w:kern w:val="0"/>
          <w:szCs w:val="20"/>
        </w:rPr>
        <w:t>/</w:t>
      </w:r>
      <w:r w:rsidRPr="008E2B3B">
        <w:rPr>
          <w:rFonts w:eastAsia="宋体"/>
          <w:kern w:val="0"/>
          <w:szCs w:val="20"/>
        </w:rPr>
        <w:t>技术评估，第</w:t>
      </w:r>
      <w:r w:rsidRPr="008E2B3B">
        <w:rPr>
          <w:rFonts w:eastAsia="宋体"/>
          <w:kern w:val="0"/>
          <w:szCs w:val="20"/>
        </w:rPr>
        <w:t>47</w:t>
      </w:r>
      <w:r w:rsidRPr="008E2B3B">
        <w:rPr>
          <w:rFonts w:eastAsia="宋体"/>
          <w:kern w:val="0"/>
          <w:szCs w:val="20"/>
        </w:rPr>
        <w:t>号，由研究三角研究所</w:t>
      </w:r>
      <w:r w:rsidRPr="008E2B3B">
        <w:rPr>
          <w:rFonts w:eastAsia="宋体"/>
          <w:kern w:val="0"/>
          <w:szCs w:val="20"/>
        </w:rPr>
        <w:t>-</w:t>
      </w:r>
      <w:r w:rsidRPr="008E2B3B">
        <w:rPr>
          <w:rFonts w:eastAsia="宋体"/>
          <w:kern w:val="0"/>
          <w:szCs w:val="20"/>
        </w:rPr>
        <w:t>北卡</w:t>
      </w:r>
      <w:proofErr w:type="gramStart"/>
      <w:r w:rsidRPr="008E2B3B">
        <w:rPr>
          <w:rFonts w:eastAsia="宋体"/>
          <w:kern w:val="0"/>
          <w:szCs w:val="20"/>
        </w:rPr>
        <w:t>罗大学</w:t>
      </w:r>
      <w:proofErr w:type="gramEnd"/>
      <w:r w:rsidRPr="008E2B3B">
        <w:rPr>
          <w:rFonts w:eastAsia="宋体"/>
          <w:kern w:val="0"/>
          <w:szCs w:val="20"/>
        </w:rPr>
        <w:t>编写</w:t>
      </w:r>
      <w:r w:rsidRPr="008E2B3B">
        <w:rPr>
          <w:rFonts w:eastAsia="宋体"/>
          <w:kern w:val="0"/>
          <w:szCs w:val="20"/>
        </w:rPr>
        <w:t>-</w:t>
      </w:r>
    </w:p>
    <w:p w14:paraId="37FBF2F7" w14:textId="77777777" w:rsidR="00EC1A52" w:rsidRPr="008E2B3B" w:rsidRDefault="00EC1A52" w:rsidP="00EC1A52">
      <w:pPr>
        <w:spacing w:after="13" w:line="256" w:lineRule="auto"/>
        <w:ind w:left="367" w:firstLine="0"/>
        <w:jc w:val="left"/>
        <w:rPr>
          <w:rFonts w:eastAsia="宋体"/>
          <w:kern w:val="0"/>
          <w:szCs w:val="20"/>
        </w:rPr>
      </w:pPr>
      <w:r w:rsidRPr="008E2B3B">
        <w:rPr>
          <w:rFonts w:eastAsia="宋体"/>
          <w:kern w:val="0"/>
          <w:szCs w:val="20"/>
        </w:rPr>
        <w:t>以利纳证据为基础的医疗保健研究与质量机构实践中心，罗克维尔，马里兰州，</w:t>
      </w:r>
      <w:r w:rsidRPr="008E2B3B">
        <w:rPr>
          <w:rFonts w:eastAsia="宋体"/>
          <w:kern w:val="0"/>
          <w:szCs w:val="20"/>
        </w:rPr>
        <w:t>2002</w:t>
      </w:r>
      <w:r w:rsidRPr="008E2B3B">
        <w:rPr>
          <w:rFonts w:eastAsia="宋体"/>
          <w:kern w:val="0"/>
          <w:szCs w:val="20"/>
        </w:rPr>
        <w:t>年，第</w:t>
      </w:r>
      <w:r w:rsidRPr="008E2B3B">
        <w:rPr>
          <w:rFonts w:eastAsia="宋体"/>
          <w:kern w:val="0"/>
          <w:szCs w:val="20"/>
        </w:rPr>
        <w:t>217</w:t>
      </w:r>
      <w:r w:rsidRPr="008E2B3B">
        <w:rPr>
          <w:rFonts w:eastAsia="宋体"/>
          <w:kern w:val="0"/>
          <w:szCs w:val="20"/>
        </w:rPr>
        <w:t>年。</w:t>
      </w:r>
    </w:p>
    <w:p w14:paraId="57A4C76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34</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Katrak</w:t>
      </w:r>
      <w:proofErr w:type="spellEnd"/>
      <w:r w:rsidRPr="008E2B3B">
        <w:rPr>
          <w:rFonts w:eastAsia="宋体"/>
          <w:kern w:val="0"/>
          <w:szCs w:val="20"/>
        </w:rPr>
        <w:t>，</w:t>
      </w:r>
      <w:r w:rsidRPr="008E2B3B">
        <w:rPr>
          <w:rFonts w:eastAsia="宋体"/>
          <w:kern w:val="0"/>
          <w:szCs w:val="20"/>
        </w:rPr>
        <w:t>P.</w:t>
      </w:r>
      <w:r w:rsidRPr="008E2B3B">
        <w:rPr>
          <w:rFonts w:eastAsia="宋体"/>
          <w:kern w:val="0"/>
          <w:szCs w:val="20"/>
        </w:rPr>
        <w:t>等人，</w:t>
      </w:r>
      <w:r w:rsidRPr="008E2B3B">
        <w:rPr>
          <w:rFonts w:eastAsia="宋体"/>
          <w:kern w:val="0"/>
          <w:szCs w:val="20"/>
        </w:rPr>
        <w:t>"</w:t>
      </w:r>
      <w:r w:rsidRPr="008E2B3B">
        <w:rPr>
          <w:rFonts w:eastAsia="宋体"/>
          <w:kern w:val="0"/>
          <w:szCs w:val="20"/>
        </w:rPr>
        <w:t>关键评估工具内容的系统审查</w:t>
      </w:r>
      <w:r w:rsidRPr="008E2B3B">
        <w:rPr>
          <w:rFonts w:eastAsia="宋体"/>
          <w:kern w:val="0"/>
          <w:szCs w:val="20"/>
        </w:rPr>
        <w:t>"</w:t>
      </w:r>
      <w:r w:rsidRPr="008E2B3B">
        <w:rPr>
          <w:rFonts w:eastAsia="宋体"/>
          <w:kern w:val="0"/>
          <w:szCs w:val="20"/>
        </w:rPr>
        <w:t>，</w:t>
      </w:r>
      <w:r w:rsidRPr="008E2B3B">
        <w:rPr>
          <w:rFonts w:eastAsia="宋体"/>
          <w:kern w:val="0"/>
          <w:szCs w:val="20"/>
        </w:rPr>
        <w:t>BMC</w:t>
      </w:r>
      <w:r w:rsidRPr="008E2B3B">
        <w:rPr>
          <w:rFonts w:eastAsia="宋体"/>
          <w:kern w:val="0"/>
          <w:szCs w:val="20"/>
        </w:rPr>
        <w:t>医学研究方法，第</w:t>
      </w:r>
      <w:r w:rsidRPr="008E2B3B">
        <w:rPr>
          <w:rFonts w:eastAsia="宋体"/>
          <w:kern w:val="0"/>
          <w:szCs w:val="20"/>
        </w:rPr>
        <w:t>4</w:t>
      </w:r>
      <w:r w:rsidRPr="008E2B3B">
        <w:rPr>
          <w:rFonts w:eastAsia="宋体"/>
          <w:kern w:val="0"/>
          <w:szCs w:val="20"/>
        </w:rPr>
        <w:t>卷，</w:t>
      </w:r>
      <w:r w:rsidRPr="008E2B3B">
        <w:rPr>
          <w:rFonts w:eastAsia="宋体"/>
          <w:kern w:val="0"/>
          <w:szCs w:val="20"/>
        </w:rPr>
        <w:t>2004</w:t>
      </w:r>
      <w:r w:rsidRPr="008E2B3B">
        <w:rPr>
          <w:rFonts w:eastAsia="宋体"/>
          <w:kern w:val="0"/>
          <w:szCs w:val="20"/>
        </w:rPr>
        <w:t>年，第</w:t>
      </w:r>
      <w:r w:rsidRPr="008E2B3B">
        <w:rPr>
          <w:rFonts w:eastAsia="宋体"/>
          <w:kern w:val="0"/>
          <w:szCs w:val="20"/>
        </w:rPr>
        <w:t>22</w:t>
      </w:r>
      <w:r w:rsidRPr="008E2B3B">
        <w:rPr>
          <w:rFonts w:eastAsia="宋体"/>
          <w:kern w:val="0"/>
          <w:szCs w:val="20"/>
        </w:rPr>
        <w:t>卷。</w:t>
      </w:r>
    </w:p>
    <w:p w14:paraId="67833DF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35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Quigley</w:t>
      </w:r>
      <w:r w:rsidRPr="008E2B3B">
        <w:rPr>
          <w:rFonts w:eastAsia="宋体"/>
          <w:kern w:val="0"/>
          <w:szCs w:val="20"/>
        </w:rPr>
        <w:t>，</w:t>
      </w:r>
      <w:r w:rsidRPr="008E2B3B">
        <w:rPr>
          <w:rFonts w:eastAsia="宋体"/>
          <w:kern w:val="0"/>
          <w:szCs w:val="20"/>
        </w:rPr>
        <w:t>J.M.</w:t>
      </w:r>
      <w:r w:rsidRPr="008E2B3B">
        <w:rPr>
          <w:rFonts w:eastAsia="宋体"/>
          <w:kern w:val="0"/>
          <w:szCs w:val="20"/>
        </w:rPr>
        <w:t>等人，</w:t>
      </w:r>
      <w:r w:rsidRPr="008E2B3B">
        <w:rPr>
          <w:rFonts w:eastAsia="宋体"/>
          <w:kern w:val="0"/>
          <w:szCs w:val="20"/>
        </w:rPr>
        <w:t>"</w:t>
      </w:r>
      <w:r w:rsidRPr="008E2B3B">
        <w:rPr>
          <w:rFonts w:eastAsia="宋体"/>
          <w:kern w:val="0"/>
          <w:szCs w:val="20"/>
        </w:rPr>
        <w:t>对非随机研究的关键评价</w:t>
      </w:r>
      <w:r w:rsidRPr="008E2B3B">
        <w:rPr>
          <w:rFonts w:eastAsia="宋体"/>
          <w:kern w:val="0"/>
          <w:szCs w:val="20"/>
        </w:rPr>
        <w:t>——</w:t>
      </w:r>
      <w:r w:rsidRPr="008E2B3B">
        <w:rPr>
          <w:rFonts w:eastAsia="宋体"/>
          <w:kern w:val="0"/>
          <w:szCs w:val="20"/>
        </w:rPr>
        <w:t>对推荐和常用工具的审查</w:t>
      </w:r>
      <w:r w:rsidRPr="008E2B3B">
        <w:rPr>
          <w:rFonts w:eastAsia="宋体"/>
          <w:kern w:val="0"/>
          <w:szCs w:val="20"/>
        </w:rPr>
        <w:t>"</w:t>
      </w:r>
      <w:r w:rsidRPr="008E2B3B">
        <w:rPr>
          <w:rFonts w:eastAsia="宋体"/>
          <w:kern w:val="0"/>
          <w:szCs w:val="20"/>
        </w:rPr>
        <w:t>，</w:t>
      </w:r>
      <w:r w:rsidRPr="008E2B3B">
        <w:rPr>
          <w:rFonts w:eastAsia="宋体"/>
          <w:kern w:val="0"/>
          <w:szCs w:val="20"/>
        </w:rPr>
        <w:t xml:space="preserve">J Eval Clin </w:t>
      </w:r>
      <w:proofErr w:type="spellStart"/>
      <w:r w:rsidRPr="008E2B3B">
        <w:rPr>
          <w:rFonts w:eastAsia="宋体"/>
          <w:kern w:val="0"/>
          <w:szCs w:val="20"/>
        </w:rPr>
        <w:t>Pract</w:t>
      </w:r>
      <w:proofErr w:type="spellEnd"/>
      <w:r w:rsidRPr="008E2B3B">
        <w:rPr>
          <w:rFonts w:eastAsia="宋体"/>
          <w:kern w:val="0"/>
          <w:szCs w:val="20"/>
        </w:rPr>
        <w:t>，第</w:t>
      </w:r>
      <w:r w:rsidRPr="008E2B3B">
        <w:rPr>
          <w:rFonts w:eastAsia="宋体"/>
          <w:kern w:val="0"/>
          <w:szCs w:val="20"/>
        </w:rPr>
        <w:t>25</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2019</w:t>
      </w:r>
      <w:r w:rsidRPr="008E2B3B">
        <w:rPr>
          <w:rFonts w:eastAsia="宋体"/>
          <w:kern w:val="0"/>
          <w:szCs w:val="20"/>
        </w:rPr>
        <w:t>年，第</w:t>
      </w:r>
      <w:r w:rsidRPr="008E2B3B">
        <w:rPr>
          <w:rFonts w:eastAsia="宋体"/>
          <w:kern w:val="0"/>
          <w:szCs w:val="20"/>
        </w:rPr>
        <w:t>44-52</w:t>
      </w:r>
      <w:r w:rsidRPr="008E2B3B">
        <w:rPr>
          <w:rFonts w:eastAsia="宋体"/>
          <w:kern w:val="0"/>
          <w:szCs w:val="20"/>
        </w:rPr>
        <w:t>页。</w:t>
      </w:r>
    </w:p>
    <w:p w14:paraId="30ED34BA"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36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Sargent</w:t>
      </w:r>
      <w:r w:rsidRPr="008E2B3B">
        <w:rPr>
          <w:rFonts w:eastAsia="宋体"/>
          <w:kern w:val="0"/>
          <w:szCs w:val="20"/>
        </w:rPr>
        <w:t>、</w:t>
      </w:r>
      <w:r w:rsidRPr="008E2B3B">
        <w:rPr>
          <w:rFonts w:eastAsia="宋体"/>
          <w:kern w:val="0"/>
          <w:szCs w:val="20"/>
        </w:rPr>
        <w:t>E.V.</w:t>
      </w:r>
      <w:r w:rsidRPr="008E2B3B">
        <w:rPr>
          <w:rFonts w:eastAsia="宋体"/>
          <w:kern w:val="0"/>
          <w:szCs w:val="20"/>
        </w:rPr>
        <w:t>等人，</w:t>
      </w:r>
      <w:r w:rsidRPr="008E2B3B">
        <w:rPr>
          <w:rFonts w:eastAsia="宋体"/>
          <w:kern w:val="0"/>
          <w:szCs w:val="20"/>
        </w:rPr>
        <w:t>"</w:t>
      </w:r>
      <w:r w:rsidRPr="008E2B3B">
        <w:rPr>
          <w:rFonts w:eastAsia="宋体"/>
          <w:kern w:val="0"/>
          <w:szCs w:val="20"/>
        </w:rPr>
        <w:t>关于建立可接受的每日暴露限额（</w:t>
      </w:r>
      <w:r w:rsidRPr="008E2B3B">
        <w:rPr>
          <w:rFonts w:eastAsia="宋体"/>
          <w:kern w:val="0"/>
          <w:szCs w:val="20"/>
        </w:rPr>
        <w:t>ADE</w:t>
      </w:r>
      <w:r w:rsidRPr="008E2B3B">
        <w:rPr>
          <w:rFonts w:eastAsia="宋体"/>
          <w:kern w:val="0"/>
          <w:szCs w:val="20"/>
        </w:rPr>
        <w:t>）以支持基于风险的药品制造的指导意见</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药剂，第</w:t>
      </w:r>
      <w:r w:rsidRPr="008E2B3B">
        <w:rPr>
          <w:rFonts w:eastAsia="宋体"/>
          <w:kern w:val="0"/>
          <w:szCs w:val="20"/>
        </w:rPr>
        <w:t>65</w:t>
      </w:r>
      <w:r w:rsidRPr="008E2B3B">
        <w:rPr>
          <w:rFonts w:eastAsia="宋体"/>
          <w:kern w:val="0"/>
          <w:szCs w:val="20"/>
        </w:rPr>
        <w:t>卷，第</w:t>
      </w:r>
      <w:r w:rsidRPr="008E2B3B">
        <w:rPr>
          <w:rFonts w:eastAsia="宋体"/>
          <w:kern w:val="0"/>
          <w:szCs w:val="20"/>
        </w:rPr>
        <w:t>2013</w:t>
      </w:r>
      <w:r w:rsidRPr="008E2B3B">
        <w:rPr>
          <w:rFonts w:eastAsia="宋体"/>
          <w:kern w:val="0"/>
          <w:szCs w:val="20"/>
        </w:rPr>
        <w:t>号，第</w:t>
      </w:r>
      <w:r w:rsidRPr="008E2B3B">
        <w:rPr>
          <w:rFonts w:eastAsia="宋体"/>
          <w:kern w:val="0"/>
          <w:szCs w:val="20"/>
        </w:rPr>
        <w:t>242-250</w:t>
      </w:r>
      <w:r w:rsidRPr="008E2B3B">
        <w:rPr>
          <w:rFonts w:eastAsia="宋体"/>
          <w:kern w:val="0"/>
          <w:szCs w:val="20"/>
        </w:rPr>
        <w:t>页。</w:t>
      </w:r>
    </w:p>
    <w:p w14:paraId="170C910D"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37</w:t>
      </w:r>
      <w:r w:rsidRPr="008E2B3B">
        <w:rPr>
          <w:rFonts w:eastAsia="宋体"/>
          <w:b/>
          <w:bCs/>
          <w:color w:val="FF0000"/>
          <w:kern w:val="0"/>
          <w:szCs w:val="20"/>
        </w:rPr>
        <w:t>）</w:t>
      </w:r>
      <w:r w:rsidRPr="008E2B3B">
        <w:rPr>
          <w:rFonts w:eastAsia="宋体"/>
          <w:b/>
          <w:bCs/>
          <w:color w:val="FF0000"/>
          <w:kern w:val="0"/>
          <w:szCs w:val="20"/>
        </w:rPr>
        <w:t xml:space="preserve"> </w:t>
      </w:r>
      <w:proofErr w:type="gramStart"/>
      <w:r w:rsidRPr="008E2B3B">
        <w:rPr>
          <w:rFonts w:eastAsia="宋体"/>
          <w:kern w:val="0"/>
          <w:szCs w:val="20"/>
        </w:rPr>
        <w:t>瑙曼</w:t>
      </w:r>
      <w:proofErr w:type="gramEnd"/>
      <w:r w:rsidRPr="008E2B3B">
        <w:rPr>
          <w:rFonts w:eastAsia="宋体"/>
          <w:kern w:val="0"/>
          <w:szCs w:val="20"/>
        </w:rPr>
        <w:t>，</w:t>
      </w:r>
      <w:r w:rsidRPr="008E2B3B">
        <w:rPr>
          <w:rFonts w:eastAsia="宋体"/>
          <w:kern w:val="0"/>
          <w:szCs w:val="20"/>
        </w:rPr>
        <w:t>B.D.</w:t>
      </w:r>
      <w:r w:rsidRPr="008E2B3B">
        <w:rPr>
          <w:rFonts w:eastAsia="宋体"/>
          <w:kern w:val="0"/>
          <w:szCs w:val="20"/>
        </w:rPr>
        <w:t>和</w:t>
      </w:r>
      <w:r w:rsidRPr="008E2B3B">
        <w:rPr>
          <w:rFonts w:eastAsia="宋体"/>
          <w:kern w:val="0"/>
          <w:szCs w:val="20"/>
        </w:rPr>
        <w:t>Sargent</w:t>
      </w:r>
      <w:r w:rsidRPr="008E2B3B">
        <w:rPr>
          <w:rFonts w:eastAsia="宋体"/>
          <w:kern w:val="0"/>
          <w:szCs w:val="20"/>
        </w:rPr>
        <w:t>，</w:t>
      </w:r>
      <w:r w:rsidRPr="008E2B3B">
        <w:rPr>
          <w:rFonts w:eastAsia="宋体"/>
          <w:kern w:val="0"/>
          <w:szCs w:val="20"/>
        </w:rPr>
        <w:t>E.V.</w:t>
      </w:r>
      <w:r w:rsidRPr="008E2B3B">
        <w:rPr>
          <w:rFonts w:eastAsia="宋体"/>
          <w:kern w:val="0"/>
          <w:szCs w:val="20"/>
        </w:rPr>
        <w:t>，</w:t>
      </w:r>
      <w:r w:rsidRPr="008E2B3B">
        <w:rPr>
          <w:rFonts w:eastAsia="宋体"/>
          <w:kern w:val="0"/>
          <w:szCs w:val="20"/>
        </w:rPr>
        <w:t>"</w:t>
      </w:r>
      <w:r w:rsidRPr="008E2B3B">
        <w:rPr>
          <w:rFonts w:eastAsia="宋体"/>
          <w:kern w:val="0"/>
          <w:szCs w:val="20"/>
        </w:rPr>
        <w:t>为药品设定职业接触限值</w:t>
      </w:r>
      <w:r w:rsidRPr="008E2B3B">
        <w:rPr>
          <w:rFonts w:eastAsia="宋体"/>
          <w:kern w:val="0"/>
          <w:szCs w:val="20"/>
        </w:rPr>
        <w:t>"</w:t>
      </w:r>
      <w:r w:rsidRPr="008E2B3B">
        <w:rPr>
          <w:rFonts w:eastAsia="宋体"/>
          <w:kern w:val="0"/>
          <w:szCs w:val="20"/>
        </w:rPr>
        <w:t>，占领医学，第</w:t>
      </w:r>
      <w:r w:rsidRPr="008E2B3B">
        <w:rPr>
          <w:rFonts w:eastAsia="宋体"/>
          <w:kern w:val="0"/>
          <w:szCs w:val="20"/>
        </w:rPr>
        <w:t>12</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1997</w:t>
      </w:r>
      <w:r w:rsidRPr="008E2B3B">
        <w:rPr>
          <w:rFonts w:eastAsia="宋体"/>
          <w:kern w:val="0"/>
          <w:szCs w:val="20"/>
        </w:rPr>
        <w:t>年，第</w:t>
      </w:r>
      <w:r w:rsidRPr="008E2B3B">
        <w:rPr>
          <w:rFonts w:eastAsia="宋体"/>
          <w:kern w:val="0"/>
          <w:szCs w:val="20"/>
        </w:rPr>
        <w:t>67-80</w:t>
      </w:r>
      <w:r w:rsidRPr="008E2B3B">
        <w:rPr>
          <w:rFonts w:eastAsia="宋体"/>
          <w:kern w:val="0"/>
          <w:szCs w:val="20"/>
        </w:rPr>
        <w:t>页。</w:t>
      </w:r>
    </w:p>
    <w:p w14:paraId="58254C2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38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基准药品工程指南：基于风险的药品制造：管理与交叉污染相关的风险的指南，第一卷，第</w:t>
      </w:r>
      <w:r w:rsidRPr="008E2B3B">
        <w:rPr>
          <w:rFonts w:eastAsia="宋体"/>
          <w:kern w:val="0"/>
          <w:szCs w:val="20"/>
        </w:rPr>
        <w:t>7</w:t>
      </w:r>
      <w:r w:rsidRPr="008E2B3B">
        <w:rPr>
          <w:rFonts w:eastAsia="宋体"/>
          <w:kern w:val="0"/>
          <w:szCs w:val="20"/>
        </w:rPr>
        <w:t>卷，</w:t>
      </w:r>
      <w:r w:rsidRPr="008E2B3B">
        <w:rPr>
          <w:rFonts w:eastAsia="宋体"/>
          <w:kern w:val="0"/>
          <w:szCs w:val="20"/>
        </w:rPr>
        <w:t>ISPE</w:t>
      </w:r>
      <w:r w:rsidRPr="008E2B3B">
        <w:rPr>
          <w:rFonts w:eastAsia="宋体"/>
          <w:kern w:val="0"/>
          <w:szCs w:val="20"/>
        </w:rPr>
        <w:t>，坦帕，佛罗里达州，</w:t>
      </w:r>
      <w:r w:rsidRPr="008E2B3B">
        <w:rPr>
          <w:rFonts w:eastAsia="宋体"/>
          <w:kern w:val="0"/>
          <w:szCs w:val="20"/>
        </w:rPr>
        <w:t>2010</w:t>
      </w:r>
      <w:r w:rsidRPr="008E2B3B">
        <w:rPr>
          <w:rFonts w:eastAsia="宋体"/>
          <w:kern w:val="0"/>
          <w:szCs w:val="20"/>
        </w:rPr>
        <w:t>年，</w:t>
      </w:r>
      <w:r w:rsidRPr="008E2B3B">
        <w:rPr>
          <w:rFonts w:eastAsia="宋体"/>
          <w:kern w:val="0"/>
          <w:szCs w:val="20"/>
        </w:rPr>
        <w:t>186</w:t>
      </w:r>
      <w:r w:rsidRPr="008E2B3B">
        <w:rPr>
          <w:rFonts w:eastAsia="宋体"/>
          <w:kern w:val="0"/>
          <w:szCs w:val="20"/>
        </w:rPr>
        <w:t>页。</w:t>
      </w:r>
    </w:p>
    <w:p w14:paraId="29E7695C"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39</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杜尔森、</w:t>
      </w:r>
      <w:r w:rsidRPr="008E2B3B">
        <w:rPr>
          <w:rFonts w:eastAsia="宋体"/>
          <w:kern w:val="0"/>
          <w:szCs w:val="20"/>
        </w:rPr>
        <w:t>M.</w:t>
      </w:r>
      <w:r w:rsidRPr="008E2B3B">
        <w:rPr>
          <w:rFonts w:eastAsia="宋体"/>
          <w:kern w:val="0"/>
          <w:szCs w:val="20"/>
        </w:rPr>
        <w:t>等人，</w:t>
      </w:r>
      <w:r w:rsidRPr="008E2B3B">
        <w:rPr>
          <w:rFonts w:eastAsia="宋体"/>
          <w:kern w:val="0"/>
          <w:szCs w:val="20"/>
        </w:rPr>
        <w:t>"</w:t>
      </w:r>
      <w:r w:rsidRPr="008E2B3B">
        <w:rPr>
          <w:rFonts w:eastAsia="宋体"/>
          <w:kern w:val="0"/>
          <w:szCs w:val="20"/>
        </w:rPr>
        <w:t>促进人类健康风险评估：整合最近的咨询委员会建议</w:t>
      </w:r>
      <w:r w:rsidRPr="008E2B3B">
        <w:rPr>
          <w:rFonts w:eastAsia="宋体"/>
          <w:kern w:val="0"/>
          <w:szCs w:val="20"/>
        </w:rPr>
        <w:t>"</w:t>
      </w:r>
      <w:r w:rsidRPr="008E2B3B">
        <w:rPr>
          <w:rFonts w:eastAsia="宋体"/>
          <w:kern w:val="0"/>
          <w:szCs w:val="20"/>
        </w:rPr>
        <w:t>，</w:t>
      </w:r>
      <w:proofErr w:type="spellStart"/>
      <w:r w:rsidRPr="008E2B3B">
        <w:rPr>
          <w:rFonts w:eastAsia="宋体"/>
          <w:kern w:val="0"/>
          <w:szCs w:val="20"/>
        </w:rPr>
        <w:t>Crit</w:t>
      </w:r>
      <w:proofErr w:type="spellEnd"/>
      <w:r w:rsidRPr="008E2B3B">
        <w:rPr>
          <w:rFonts w:eastAsia="宋体"/>
          <w:kern w:val="0"/>
          <w:szCs w:val="20"/>
        </w:rPr>
        <w:t xml:space="preserve"> Rev </w:t>
      </w:r>
      <w:r w:rsidRPr="008E2B3B">
        <w:rPr>
          <w:rFonts w:eastAsia="宋体"/>
          <w:kern w:val="0"/>
          <w:szCs w:val="20"/>
        </w:rPr>
        <w:t>毒理，第</w:t>
      </w:r>
      <w:r w:rsidRPr="008E2B3B">
        <w:rPr>
          <w:rFonts w:eastAsia="宋体"/>
          <w:kern w:val="0"/>
          <w:szCs w:val="20"/>
        </w:rPr>
        <w:t xml:space="preserve"> 43 </w:t>
      </w:r>
      <w:r w:rsidRPr="008E2B3B">
        <w:rPr>
          <w:rFonts w:eastAsia="宋体"/>
          <w:kern w:val="0"/>
          <w:szCs w:val="20"/>
        </w:rPr>
        <w:t>卷，第</w:t>
      </w:r>
      <w:r w:rsidRPr="008E2B3B">
        <w:rPr>
          <w:rFonts w:eastAsia="宋体"/>
          <w:kern w:val="0"/>
          <w:szCs w:val="20"/>
        </w:rPr>
        <w:t xml:space="preserve"> 6 </w:t>
      </w:r>
      <w:r w:rsidRPr="008E2B3B">
        <w:rPr>
          <w:rFonts w:eastAsia="宋体"/>
          <w:kern w:val="0"/>
          <w:szCs w:val="20"/>
        </w:rPr>
        <w:t>卷，</w:t>
      </w:r>
      <w:r w:rsidRPr="008E2B3B">
        <w:rPr>
          <w:rFonts w:eastAsia="宋体"/>
          <w:kern w:val="0"/>
          <w:szCs w:val="20"/>
        </w:rPr>
        <w:t xml:space="preserve">2013 </w:t>
      </w:r>
      <w:r w:rsidRPr="008E2B3B">
        <w:rPr>
          <w:rFonts w:eastAsia="宋体"/>
          <w:kern w:val="0"/>
          <w:szCs w:val="20"/>
        </w:rPr>
        <w:t>年，第</w:t>
      </w:r>
      <w:r w:rsidRPr="008E2B3B">
        <w:rPr>
          <w:rFonts w:eastAsia="宋体"/>
          <w:kern w:val="0"/>
          <w:szCs w:val="20"/>
        </w:rPr>
        <w:t xml:space="preserve"> 467-492 </w:t>
      </w:r>
      <w:r w:rsidRPr="008E2B3B">
        <w:rPr>
          <w:rFonts w:eastAsia="宋体"/>
          <w:kern w:val="0"/>
          <w:szCs w:val="20"/>
        </w:rPr>
        <w:t>页。</w:t>
      </w:r>
    </w:p>
    <w:p w14:paraId="2DC1A532"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40</w:t>
      </w:r>
      <w:r w:rsidRPr="008E2B3B">
        <w:rPr>
          <w:rFonts w:eastAsia="宋体"/>
          <w:b/>
          <w:bCs/>
          <w:color w:val="FF0000"/>
          <w:kern w:val="0"/>
          <w:szCs w:val="20"/>
        </w:rPr>
        <w:t>）</w:t>
      </w:r>
      <w:r w:rsidRPr="008E2B3B">
        <w:rPr>
          <w:rFonts w:eastAsia="宋体"/>
          <w:b/>
          <w:bCs/>
          <w:color w:val="FF0000"/>
          <w:kern w:val="0"/>
          <w:szCs w:val="20"/>
        </w:rPr>
        <w:t xml:space="preserve"> </w:t>
      </w:r>
      <w:proofErr w:type="gramStart"/>
      <w:r w:rsidRPr="008E2B3B">
        <w:rPr>
          <w:rFonts w:eastAsia="宋体"/>
          <w:kern w:val="0"/>
          <w:szCs w:val="20"/>
        </w:rPr>
        <w:t>凯</w:t>
      </w:r>
      <w:proofErr w:type="gramEnd"/>
      <w:r w:rsidRPr="008E2B3B">
        <w:rPr>
          <w:rFonts w:eastAsia="宋体"/>
          <w:kern w:val="0"/>
          <w:szCs w:val="20"/>
        </w:rPr>
        <w:t>勒，</w:t>
      </w:r>
      <w:r w:rsidRPr="008E2B3B">
        <w:rPr>
          <w:rFonts w:eastAsia="宋体"/>
          <w:kern w:val="0"/>
          <w:szCs w:val="20"/>
        </w:rPr>
        <w:t>D.A.</w:t>
      </w:r>
      <w:r w:rsidRPr="008E2B3B">
        <w:rPr>
          <w:rFonts w:eastAsia="宋体"/>
          <w:kern w:val="0"/>
          <w:szCs w:val="20"/>
        </w:rPr>
        <w:t>等人，</w:t>
      </w:r>
      <w:r w:rsidRPr="008E2B3B">
        <w:rPr>
          <w:rFonts w:eastAsia="宋体"/>
          <w:kern w:val="0"/>
          <w:szCs w:val="20"/>
        </w:rPr>
        <w:t>"21</w:t>
      </w:r>
      <w:r w:rsidRPr="008E2B3B">
        <w:rPr>
          <w:rFonts w:eastAsia="宋体"/>
          <w:kern w:val="0"/>
          <w:szCs w:val="20"/>
        </w:rPr>
        <w:t>世纪毒理学不良反应的识别和定性</w:t>
      </w:r>
      <w:r w:rsidRPr="008E2B3B">
        <w:rPr>
          <w:rFonts w:eastAsia="宋体"/>
          <w:kern w:val="0"/>
          <w:szCs w:val="20"/>
        </w:rPr>
        <w:t>"</w:t>
      </w:r>
      <w:r w:rsidRPr="008E2B3B">
        <w:rPr>
          <w:rFonts w:eastAsia="宋体"/>
          <w:kern w:val="0"/>
          <w:szCs w:val="20"/>
        </w:rPr>
        <w:t>，毒理</w:t>
      </w:r>
      <w:proofErr w:type="gramStart"/>
      <w:r w:rsidRPr="008E2B3B">
        <w:rPr>
          <w:rFonts w:eastAsia="宋体"/>
          <w:kern w:val="0"/>
          <w:szCs w:val="20"/>
        </w:rPr>
        <w:t>醇</w:t>
      </w:r>
      <w:proofErr w:type="gramEnd"/>
      <w:r w:rsidRPr="008E2B3B">
        <w:rPr>
          <w:rFonts w:eastAsia="宋体"/>
          <w:kern w:val="0"/>
          <w:szCs w:val="20"/>
        </w:rPr>
        <w:t>科学，第</w:t>
      </w:r>
      <w:r w:rsidRPr="008E2B3B">
        <w:rPr>
          <w:rFonts w:eastAsia="宋体"/>
          <w:kern w:val="0"/>
          <w:szCs w:val="20"/>
        </w:rPr>
        <w:t>126</w:t>
      </w:r>
      <w:r w:rsidRPr="008E2B3B">
        <w:rPr>
          <w:rFonts w:eastAsia="宋体"/>
          <w:kern w:val="0"/>
          <w:szCs w:val="20"/>
        </w:rPr>
        <w:t>卷，第</w:t>
      </w:r>
      <w:r w:rsidRPr="008E2B3B">
        <w:rPr>
          <w:rFonts w:eastAsia="宋体"/>
          <w:kern w:val="0"/>
          <w:szCs w:val="20"/>
        </w:rPr>
        <w:t>2</w:t>
      </w:r>
      <w:r w:rsidRPr="008E2B3B">
        <w:rPr>
          <w:rFonts w:eastAsia="宋体"/>
          <w:kern w:val="0"/>
          <w:szCs w:val="20"/>
        </w:rPr>
        <w:t>号，</w:t>
      </w:r>
      <w:r w:rsidRPr="008E2B3B">
        <w:rPr>
          <w:rFonts w:eastAsia="宋体"/>
          <w:kern w:val="0"/>
          <w:szCs w:val="20"/>
        </w:rPr>
        <w:t>2012</w:t>
      </w:r>
      <w:r w:rsidRPr="008E2B3B">
        <w:rPr>
          <w:rFonts w:eastAsia="宋体"/>
          <w:kern w:val="0"/>
          <w:szCs w:val="20"/>
        </w:rPr>
        <w:t>年，第</w:t>
      </w:r>
      <w:r w:rsidRPr="008E2B3B">
        <w:rPr>
          <w:rFonts w:eastAsia="宋体"/>
          <w:kern w:val="0"/>
          <w:szCs w:val="20"/>
        </w:rPr>
        <w:t>291-297</w:t>
      </w:r>
      <w:r w:rsidRPr="008E2B3B">
        <w:rPr>
          <w:rFonts w:eastAsia="宋体"/>
          <w:kern w:val="0"/>
          <w:szCs w:val="20"/>
        </w:rPr>
        <w:t>页。</w:t>
      </w:r>
    </w:p>
    <w:p w14:paraId="78EB408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41</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参考剂量和参考浓度过程审查，风险评估论坛，美国环境保护局，华盛顿特区，</w:t>
      </w:r>
      <w:r w:rsidRPr="008E2B3B">
        <w:rPr>
          <w:rFonts w:eastAsia="宋体"/>
          <w:kern w:val="0"/>
          <w:szCs w:val="20"/>
        </w:rPr>
        <w:t>2002</w:t>
      </w:r>
      <w:r w:rsidRPr="008E2B3B">
        <w:rPr>
          <w:rFonts w:eastAsia="宋体"/>
          <w:kern w:val="0"/>
          <w:szCs w:val="20"/>
        </w:rPr>
        <w:t>年，第</w:t>
      </w:r>
      <w:r w:rsidRPr="008E2B3B">
        <w:rPr>
          <w:rFonts w:eastAsia="宋体"/>
          <w:kern w:val="0"/>
          <w:szCs w:val="20"/>
        </w:rPr>
        <w:t>192</w:t>
      </w:r>
      <w:r w:rsidRPr="008E2B3B">
        <w:rPr>
          <w:rFonts w:eastAsia="宋体"/>
          <w:kern w:val="0"/>
          <w:szCs w:val="20"/>
        </w:rPr>
        <w:t>年。</w:t>
      </w:r>
    </w:p>
    <w:p w14:paraId="7417ABA5"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42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Crump</w:t>
      </w:r>
      <w:r w:rsidRPr="008E2B3B">
        <w:rPr>
          <w:rFonts w:eastAsia="宋体"/>
          <w:kern w:val="0"/>
          <w:szCs w:val="20"/>
        </w:rPr>
        <w:t>，</w:t>
      </w:r>
      <w:r w:rsidRPr="008E2B3B">
        <w:rPr>
          <w:rFonts w:eastAsia="宋体"/>
          <w:kern w:val="0"/>
          <w:szCs w:val="20"/>
        </w:rPr>
        <w:t xml:space="preserve"> K. S.</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确定允许的每日摄入量的新方法</w:t>
      </w:r>
      <w:r w:rsidRPr="008E2B3B">
        <w:rPr>
          <w:rFonts w:eastAsia="宋体"/>
          <w:kern w:val="0"/>
          <w:szCs w:val="20"/>
        </w:rPr>
        <w:t>"</w:t>
      </w:r>
      <w:r w:rsidRPr="008E2B3B">
        <w:rPr>
          <w:rFonts w:eastAsia="宋体"/>
          <w:kern w:val="0"/>
          <w:szCs w:val="20"/>
        </w:rPr>
        <w:t>，</w:t>
      </w:r>
      <w:r w:rsidRPr="008E2B3B">
        <w:rPr>
          <w:rFonts w:eastAsia="宋体"/>
          <w:kern w:val="0"/>
          <w:szCs w:val="20"/>
        </w:rPr>
        <w:t xml:space="preserve"> </w:t>
      </w:r>
      <w:proofErr w:type="spellStart"/>
      <w:r w:rsidRPr="008E2B3B">
        <w:rPr>
          <w:rFonts w:eastAsia="宋体"/>
          <w:kern w:val="0"/>
          <w:szCs w:val="20"/>
        </w:rPr>
        <w:t>Fundam</w:t>
      </w:r>
      <w:proofErr w:type="spellEnd"/>
      <w:r w:rsidRPr="008E2B3B">
        <w:rPr>
          <w:rFonts w:eastAsia="宋体"/>
          <w:kern w:val="0"/>
          <w:szCs w:val="20"/>
        </w:rPr>
        <w:t xml:space="preserve"> Appl </w:t>
      </w:r>
      <w:proofErr w:type="spellStart"/>
      <w:r w:rsidRPr="008E2B3B">
        <w:rPr>
          <w:rFonts w:eastAsia="宋体"/>
          <w:kern w:val="0"/>
          <w:szCs w:val="20"/>
        </w:rPr>
        <w:t>Toxicol</w:t>
      </w:r>
      <w:proofErr w:type="spellEnd"/>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4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5 </w:t>
      </w:r>
      <w:r w:rsidRPr="008E2B3B">
        <w:rPr>
          <w:rFonts w:eastAsia="宋体"/>
          <w:kern w:val="0"/>
          <w:szCs w:val="20"/>
        </w:rPr>
        <w:t>号，</w:t>
      </w:r>
      <w:r w:rsidRPr="008E2B3B">
        <w:rPr>
          <w:rFonts w:eastAsia="宋体"/>
          <w:kern w:val="0"/>
          <w:szCs w:val="20"/>
        </w:rPr>
        <w:t xml:space="preserve"> 1984 </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854 -871 </w:t>
      </w:r>
      <w:r w:rsidRPr="008E2B3B">
        <w:rPr>
          <w:rFonts w:eastAsia="宋体"/>
          <w:kern w:val="0"/>
          <w:szCs w:val="20"/>
        </w:rPr>
        <w:t>页。</w:t>
      </w:r>
    </w:p>
    <w:p w14:paraId="4B20DE1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43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博克克斯，</w:t>
      </w:r>
      <w:r w:rsidRPr="008E2B3B">
        <w:rPr>
          <w:rFonts w:eastAsia="宋体"/>
          <w:kern w:val="0"/>
          <w:szCs w:val="20"/>
        </w:rPr>
        <w:t xml:space="preserve">B.G. </w:t>
      </w:r>
      <w:r w:rsidRPr="008E2B3B">
        <w:rPr>
          <w:rFonts w:eastAsia="宋体"/>
          <w:kern w:val="0"/>
          <w:szCs w:val="20"/>
        </w:rPr>
        <w:t>和</w:t>
      </w:r>
      <w:r w:rsidRPr="008E2B3B">
        <w:rPr>
          <w:rFonts w:eastAsia="宋体"/>
          <w:kern w:val="0"/>
          <w:szCs w:val="20"/>
        </w:rPr>
        <w:t>Slob</w:t>
      </w:r>
      <w:r w:rsidRPr="008E2B3B">
        <w:rPr>
          <w:rFonts w:eastAsia="宋体"/>
          <w:kern w:val="0"/>
          <w:szCs w:val="20"/>
        </w:rPr>
        <w:t>，</w:t>
      </w:r>
      <w:r w:rsidRPr="008E2B3B">
        <w:rPr>
          <w:rFonts w:eastAsia="宋体"/>
          <w:kern w:val="0"/>
          <w:szCs w:val="20"/>
        </w:rPr>
        <w:t>W.</w:t>
      </w:r>
      <w:r w:rsidRPr="008E2B3B">
        <w:rPr>
          <w:rFonts w:eastAsia="宋体"/>
          <w:kern w:val="0"/>
          <w:szCs w:val="20"/>
        </w:rPr>
        <w:t>，</w:t>
      </w:r>
      <w:r w:rsidRPr="008E2B3B">
        <w:rPr>
          <w:rFonts w:eastAsia="宋体"/>
          <w:kern w:val="0"/>
          <w:szCs w:val="20"/>
        </w:rPr>
        <w:t>"</w:t>
      </w:r>
      <w:r w:rsidRPr="008E2B3B">
        <w:rPr>
          <w:rFonts w:eastAsia="宋体"/>
          <w:kern w:val="0"/>
          <w:szCs w:val="20"/>
        </w:rPr>
        <w:t>使用</w:t>
      </w:r>
      <w:r w:rsidRPr="008E2B3B">
        <w:rPr>
          <w:rFonts w:eastAsia="宋体"/>
          <w:kern w:val="0"/>
          <w:szCs w:val="20"/>
        </w:rPr>
        <w:t>NOAEL</w:t>
      </w:r>
      <w:r w:rsidRPr="008E2B3B">
        <w:rPr>
          <w:rFonts w:eastAsia="宋体"/>
          <w:kern w:val="0"/>
          <w:szCs w:val="20"/>
        </w:rPr>
        <w:t>和基准剂量方法得出基于数据的物种间评估因子</w:t>
      </w:r>
      <w:r w:rsidRPr="008E2B3B">
        <w:rPr>
          <w:rFonts w:eastAsia="宋体"/>
          <w:kern w:val="0"/>
          <w:szCs w:val="20"/>
        </w:rPr>
        <w:lastRenderedPageBreak/>
        <w:t>"</w:t>
      </w:r>
      <w:r w:rsidRPr="008E2B3B">
        <w:rPr>
          <w:rFonts w:eastAsia="宋体"/>
          <w:kern w:val="0"/>
          <w:szCs w:val="20"/>
        </w:rPr>
        <w:t>，</w:t>
      </w:r>
      <w:proofErr w:type="spellStart"/>
      <w:r w:rsidRPr="008E2B3B">
        <w:rPr>
          <w:rFonts w:eastAsia="宋体"/>
          <w:kern w:val="0"/>
          <w:szCs w:val="20"/>
        </w:rPr>
        <w:t>Crit</w:t>
      </w:r>
      <w:proofErr w:type="spellEnd"/>
      <w:r w:rsidRPr="008E2B3B">
        <w:rPr>
          <w:rFonts w:eastAsia="宋体"/>
          <w:kern w:val="0"/>
          <w:szCs w:val="20"/>
        </w:rPr>
        <w:t xml:space="preserve"> Rev</w:t>
      </w:r>
      <w:r w:rsidRPr="008E2B3B">
        <w:rPr>
          <w:rFonts w:eastAsia="宋体"/>
          <w:kern w:val="0"/>
          <w:szCs w:val="20"/>
        </w:rPr>
        <w:t>毒剂，第</w:t>
      </w:r>
      <w:r w:rsidRPr="008E2B3B">
        <w:rPr>
          <w:rFonts w:eastAsia="宋体"/>
          <w:kern w:val="0"/>
          <w:szCs w:val="20"/>
        </w:rPr>
        <w:t>37</w:t>
      </w:r>
      <w:r w:rsidRPr="008E2B3B">
        <w:rPr>
          <w:rFonts w:eastAsia="宋体"/>
          <w:kern w:val="0"/>
          <w:szCs w:val="20"/>
        </w:rPr>
        <w:t>卷，第</w:t>
      </w:r>
      <w:r w:rsidRPr="008E2B3B">
        <w:rPr>
          <w:rFonts w:eastAsia="宋体"/>
          <w:kern w:val="0"/>
          <w:szCs w:val="20"/>
        </w:rPr>
        <w:t>5</w:t>
      </w:r>
      <w:r w:rsidRPr="008E2B3B">
        <w:rPr>
          <w:rFonts w:eastAsia="宋体"/>
          <w:kern w:val="0"/>
          <w:szCs w:val="20"/>
        </w:rPr>
        <w:t>号，</w:t>
      </w:r>
      <w:r w:rsidRPr="008E2B3B">
        <w:rPr>
          <w:rFonts w:eastAsia="宋体"/>
          <w:kern w:val="0"/>
          <w:szCs w:val="20"/>
        </w:rPr>
        <w:t>2007</w:t>
      </w:r>
      <w:r w:rsidRPr="008E2B3B">
        <w:rPr>
          <w:rFonts w:eastAsia="宋体"/>
          <w:kern w:val="0"/>
          <w:szCs w:val="20"/>
        </w:rPr>
        <w:t>年，第</w:t>
      </w:r>
      <w:r w:rsidRPr="008E2B3B">
        <w:rPr>
          <w:rFonts w:eastAsia="宋体"/>
          <w:kern w:val="0"/>
          <w:szCs w:val="20"/>
        </w:rPr>
        <w:t>355-373</w:t>
      </w:r>
      <w:r w:rsidRPr="008E2B3B">
        <w:rPr>
          <w:rFonts w:eastAsia="宋体"/>
          <w:kern w:val="0"/>
          <w:szCs w:val="20"/>
        </w:rPr>
        <w:t>页。</w:t>
      </w:r>
    </w:p>
    <w:p w14:paraId="46F4E9A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44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Davis</w:t>
      </w:r>
      <w:r w:rsidRPr="008E2B3B">
        <w:rPr>
          <w:rFonts w:eastAsia="宋体"/>
          <w:kern w:val="0"/>
          <w:szCs w:val="20"/>
        </w:rPr>
        <w:t>，</w:t>
      </w:r>
      <w:r w:rsidRPr="008E2B3B">
        <w:rPr>
          <w:rFonts w:eastAsia="宋体"/>
          <w:kern w:val="0"/>
          <w:szCs w:val="20"/>
        </w:rPr>
        <w:t xml:space="preserve"> J. A.</w:t>
      </w:r>
      <w:r w:rsidRPr="008E2B3B">
        <w:rPr>
          <w:rFonts w:eastAsia="宋体"/>
          <w:kern w:val="0"/>
          <w:szCs w:val="20"/>
        </w:rPr>
        <w:t>，</w:t>
      </w:r>
      <w:r w:rsidRPr="008E2B3B">
        <w:rPr>
          <w:rFonts w:eastAsia="宋体"/>
          <w:kern w:val="0"/>
          <w:szCs w:val="20"/>
        </w:rPr>
        <w:t xml:space="preserve"> Gift</w:t>
      </w:r>
      <w:r w:rsidRPr="008E2B3B">
        <w:rPr>
          <w:rFonts w:eastAsia="宋体"/>
          <w:kern w:val="0"/>
          <w:szCs w:val="20"/>
        </w:rPr>
        <w:t>，</w:t>
      </w:r>
      <w:r w:rsidRPr="008E2B3B">
        <w:rPr>
          <w:rFonts w:eastAsia="宋体"/>
          <w:kern w:val="0"/>
          <w:szCs w:val="20"/>
        </w:rPr>
        <w:t xml:space="preserve"> J. S. </w:t>
      </w:r>
      <w:r w:rsidRPr="008E2B3B">
        <w:rPr>
          <w:rFonts w:eastAsia="宋体"/>
          <w:kern w:val="0"/>
          <w:szCs w:val="20"/>
        </w:rPr>
        <w:t>和赵，</w:t>
      </w:r>
      <w:r w:rsidRPr="008E2B3B">
        <w:rPr>
          <w:rFonts w:eastAsia="宋体"/>
          <w:kern w:val="0"/>
          <w:szCs w:val="20"/>
        </w:rPr>
        <w:t xml:space="preserve"> Q. J.</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基准剂量方法和美国环保局基准剂量软件</w:t>
      </w:r>
      <w:r w:rsidRPr="008E2B3B">
        <w:rPr>
          <w:rFonts w:eastAsia="宋体"/>
          <w:kern w:val="0"/>
          <w:szCs w:val="20"/>
        </w:rPr>
        <w:t xml:space="preserve"> </w:t>
      </w:r>
      <w:r w:rsidRPr="008E2B3B">
        <w:rPr>
          <w:rFonts w:eastAsia="宋体"/>
          <w:kern w:val="0"/>
          <w:szCs w:val="20"/>
        </w:rPr>
        <w:t>（</w:t>
      </w:r>
      <w:r w:rsidRPr="008E2B3B">
        <w:rPr>
          <w:rFonts w:eastAsia="宋体"/>
          <w:kern w:val="0"/>
          <w:szCs w:val="20"/>
        </w:rPr>
        <w:t>BMDS</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版本</w:t>
      </w:r>
      <w:r w:rsidRPr="008E2B3B">
        <w:rPr>
          <w:rFonts w:eastAsia="宋体"/>
          <w:kern w:val="0"/>
          <w:szCs w:val="20"/>
        </w:rPr>
        <w:t xml:space="preserve"> 2.1.1"</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毒剂阿布尔药剂，</w:t>
      </w:r>
      <w:r w:rsidRPr="008E2B3B">
        <w:rPr>
          <w:rFonts w:eastAsia="宋体"/>
          <w:kern w:val="0"/>
          <w:szCs w:val="20"/>
        </w:rPr>
        <w:t xml:space="preserve"> Vol 254</w:t>
      </w:r>
      <w:r w:rsidRPr="008E2B3B">
        <w:rPr>
          <w:rFonts w:eastAsia="宋体"/>
          <w:kern w:val="0"/>
          <w:szCs w:val="20"/>
        </w:rPr>
        <w:t>，</w:t>
      </w:r>
      <w:r w:rsidRPr="008E2B3B">
        <w:rPr>
          <w:rFonts w:eastAsia="宋体"/>
          <w:kern w:val="0"/>
          <w:szCs w:val="20"/>
        </w:rPr>
        <w:t xml:space="preserve"> 2011</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181-191 </w:t>
      </w:r>
      <w:r w:rsidRPr="008E2B3B">
        <w:rPr>
          <w:rFonts w:eastAsia="宋体"/>
          <w:kern w:val="0"/>
          <w:szCs w:val="20"/>
        </w:rPr>
        <w:t>页</w:t>
      </w:r>
      <w:r w:rsidRPr="008E2B3B">
        <w:rPr>
          <w:rFonts w:eastAsia="宋体"/>
          <w:kern w:val="0"/>
          <w:szCs w:val="20"/>
        </w:rPr>
        <w:t>.</w:t>
      </w:r>
    </w:p>
    <w:p w14:paraId="3CB48894"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45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桑德，</w:t>
      </w:r>
      <w:r w:rsidRPr="008E2B3B">
        <w:rPr>
          <w:rFonts w:eastAsia="宋体"/>
          <w:kern w:val="0"/>
          <w:szCs w:val="20"/>
        </w:rPr>
        <w:t>S.</w:t>
      </w:r>
      <w:r w:rsidRPr="008E2B3B">
        <w:rPr>
          <w:rFonts w:eastAsia="宋体"/>
          <w:kern w:val="0"/>
          <w:szCs w:val="20"/>
        </w:rPr>
        <w:t>，维克托林，</w:t>
      </w:r>
      <w:r w:rsidRPr="008E2B3B">
        <w:rPr>
          <w:rFonts w:eastAsia="宋体"/>
          <w:kern w:val="0"/>
          <w:szCs w:val="20"/>
        </w:rPr>
        <w:t>K.</w:t>
      </w:r>
      <w:r w:rsidRPr="008E2B3B">
        <w:rPr>
          <w:rFonts w:eastAsia="宋体"/>
          <w:kern w:val="0"/>
          <w:szCs w:val="20"/>
        </w:rPr>
        <w:t>和菲利普森，</w:t>
      </w:r>
      <w:r w:rsidRPr="008E2B3B">
        <w:rPr>
          <w:rFonts w:eastAsia="宋体"/>
          <w:kern w:val="0"/>
          <w:szCs w:val="20"/>
        </w:rPr>
        <w:t>A.F.</w:t>
      </w:r>
      <w:r w:rsidRPr="008E2B3B">
        <w:rPr>
          <w:rFonts w:eastAsia="宋体"/>
          <w:kern w:val="0"/>
          <w:szCs w:val="20"/>
        </w:rPr>
        <w:t>，</w:t>
      </w:r>
      <w:r w:rsidRPr="008E2B3B">
        <w:rPr>
          <w:rFonts w:eastAsia="宋体"/>
          <w:kern w:val="0"/>
          <w:szCs w:val="20"/>
        </w:rPr>
        <w:t>"</w:t>
      </w:r>
      <w:r w:rsidRPr="008E2B3B">
        <w:rPr>
          <w:rFonts w:eastAsia="宋体"/>
          <w:kern w:val="0"/>
          <w:szCs w:val="20"/>
        </w:rPr>
        <w:t>关于在风险评估中使用基准剂量概念的知识的当前状态，</w:t>
      </w:r>
      <w:r w:rsidRPr="008E2B3B">
        <w:rPr>
          <w:rFonts w:eastAsia="宋体"/>
          <w:kern w:val="0"/>
          <w:szCs w:val="20"/>
        </w:rPr>
        <w:t xml:space="preserve">"J Appl </w:t>
      </w:r>
      <w:proofErr w:type="spellStart"/>
      <w:r w:rsidRPr="008E2B3B">
        <w:rPr>
          <w:rFonts w:eastAsia="宋体"/>
          <w:kern w:val="0"/>
          <w:szCs w:val="20"/>
        </w:rPr>
        <w:t>Toxicol</w:t>
      </w:r>
      <w:proofErr w:type="spellEnd"/>
      <w:r w:rsidRPr="008E2B3B">
        <w:rPr>
          <w:rFonts w:eastAsia="宋体"/>
          <w:kern w:val="0"/>
          <w:szCs w:val="20"/>
        </w:rPr>
        <w:t>，第</w:t>
      </w:r>
      <w:r w:rsidRPr="008E2B3B">
        <w:rPr>
          <w:rFonts w:eastAsia="宋体"/>
          <w:kern w:val="0"/>
          <w:szCs w:val="20"/>
        </w:rPr>
        <w:t>28</w:t>
      </w:r>
      <w:r w:rsidRPr="008E2B3B">
        <w:rPr>
          <w:rFonts w:eastAsia="宋体"/>
          <w:kern w:val="0"/>
          <w:szCs w:val="20"/>
        </w:rPr>
        <w:t>卷，第</w:t>
      </w:r>
      <w:r w:rsidRPr="008E2B3B">
        <w:rPr>
          <w:rFonts w:eastAsia="宋体"/>
          <w:kern w:val="0"/>
          <w:szCs w:val="20"/>
        </w:rPr>
        <w:t>4</w:t>
      </w:r>
      <w:r w:rsidRPr="008E2B3B">
        <w:rPr>
          <w:rFonts w:eastAsia="宋体"/>
          <w:kern w:val="0"/>
          <w:szCs w:val="20"/>
        </w:rPr>
        <w:t>号，</w:t>
      </w:r>
      <w:r w:rsidRPr="008E2B3B">
        <w:rPr>
          <w:rFonts w:eastAsia="宋体"/>
          <w:kern w:val="0"/>
          <w:szCs w:val="20"/>
        </w:rPr>
        <w:t>2008</w:t>
      </w:r>
      <w:r w:rsidRPr="008E2B3B">
        <w:rPr>
          <w:rFonts w:eastAsia="宋体"/>
          <w:kern w:val="0"/>
          <w:szCs w:val="20"/>
        </w:rPr>
        <w:t>年，第</w:t>
      </w:r>
      <w:r w:rsidRPr="008E2B3B">
        <w:rPr>
          <w:rFonts w:eastAsia="宋体"/>
          <w:kern w:val="0"/>
          <w:szCs w:val="20"/>
        </w:rPr>
        <w:t>405-421</w:t>
      </w:r>
      <w:r w:rsidRPr="008E2B3B">
        <w:rPr>
          <w:rFonts w:eastAsia="宋体"/>
          <w:kern w:val="0"/>
          <w:szCs w:val="20"/>
        </w:rPr>
        <w:t>页。</w:t>
      </w:r>
    </w:p>
    <w:p w14:paraId="74E8789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46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w:t>
      </w:r>
      <w:r w:rsidRPr="008E2B3B">
        <w:rPr>
          <w:rFonts w:eastAsia="宋体"/>
          <w:kern w:val="0"/>
          <w:szCs w:val="20"/>
        </w:rPr>
        <w:t>科学委员会关于</w:t>
      </w:r>
      <w:r w:rsidRPr="008E2B3B">
        <w:rPr>
          <w:rFonts w:eastAsia="宋体"/>
          <w:kern w:val="0"/>
          <w:szCs w:val="20"/>
        </w:rPr>
        <w:t>EFSA</w:t>
      </w:r>
      <w:r w:rsidRPr="008E2B3B">
        <w:rPr>
          <w:rFonts w:eastAsia="宋体"/>
          <w:kern w:val="0"/>
          <w:szCs w:val="20"/>
        </w:rPr>
        <w:t>关于在风险评估中使用基准剂量方法的请求的指导意见</w:t>
      </w:r>
      <w:r w:rsidRPr="008E2B3B">
        <w:rPr>
          <w:rFonts w:eastAsia="宋体"/>
          <w:kern w:val="0"/>
          <w:szCs w:val="20"/>
        </w:rPr>
        <w:t>"</w:t>
      </w:r>
      <w:r w:rsidRPr="008E2B3B">
        <w:rPr>
          <w:rFonts w:eastAsia="宋体"/>
          <w:kern w:val="0"/>
          <w:szCs w:val="20"/>
        </w:rPr>
        <w:t>，</w:t>
      </w:r>
      <w:r w:rsidRPr="008E2B3B">
        <w:rPr>
          <w:rFonts w:eastAsia="宋体"/>
          <w:kern w:val="0"/>
          <w:szCs w:val="20"/>
        </w:rPr>
        <w:t>EFSA J</w:t>
      </w:r>
      <w:r w:rsidRPr="008E2B3B">
        <w:rPr>
          <w:rFonts w:eastAsia="宋体"/>
          <w:kern w:val="0"/>
          <w:szCs w:val="20"/>
        </w:rPr>
        <w:t>，第</w:t>
      </w:r>
      <w:r w:rsidRPr="008E2B3B">
        <w:rPr>
          <w:rFonts w:eastAsia="宋体"/>
          <w:kern w:val="0"/>
          <w:szCs w:val="20"/>
        </w:rPr>
        <w:t>1150</w:t>
      </w:r>
      <w:r w:rsidRPr="008E2B3B">
        <w:rPr>
          <w:rFonts w:eastAsia="宋体"/>
          <w:kern w:val="0"/>
          <w:szCs w:val="20"/>
        </w:rPr>
        <w:t>卷，</w:t>
      </w:r>
      <w:r w:rsidRPr="008E2B3B">
        <w:rPr>
          <w:rFonts w:eastAsia="宋体"/>
          <w:kern w:val="0"/>
          <w:szCs w:val="20"/>
        </w:rPr>
        <w:t>2009</w:t>
      </w:r>
      <w:r w:rsidRPr="008E2B3B">
        <w:rPr>
          <w:rFonts w:eastAsia="宋体"/>
          <w:kern w:val="0"/>
          <w:szCs w:val="20"/>
        </w:rPr>
        <w:t>年，第</w:t>
      </w:r>
      <w:r w:rsidRPr="008E2B3B">
        <w:rPr>
          <w:rFonts w:eastAsia="宋体"/>
          <w:kern w:val="0"/>
          <w:szCs w:val="20"/>
        </w:rPr>
        <w:t>1-72</w:t>
      </w:r>
      <w:r w:rsidRPr="008E2B3B">
        <w:rPr>
          <w:rFonts w:eastAsia="宋体"/>
          <w:kern w:val="0"/>
          <w:szCs w:val="20"/>
        </w:rPr>
        <w:t>页。</w:t>
      </w:r>
    </w:p>
    <w:p w14:paraId="15674F7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47</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Filipson</w:t>
      </w:r>
      <w:proofErr w:type="spellEnd"/>
      <w:r w:rsidRPr="008E2B3B">
        <w:rPr>
          <w:rFonts w:eastAsia="宋体"/>
          <w:kern w:val="0"/>
          <w:szCs w:val="20"/>
        </w:rPr>
        <w:t>，</w:t>
      </w:r>
      <w:r w:rsidRPr="008E2B3B">
        <w:rPr>
          <w:rFonts w:eastAsia="宋体"/>
          <w:kern w:val="0"/>
          <w:szCs w:val="20"/>
        </w:rPr>
        <w:t xml:space="preserve"> A. F.</w:t>
      </w:r>
      <w:r w:rsidRPr="008E2B3B">
        <w:rPr>
          <w:rFonts w:eastAsia="宋体"/>
          <w:kern w:val="0"/>
          <w:szCs w:val="20"/>
        </w:rPr>
        <w:t>等人，</w:t>
      </w:r>
      <w:r w:rsidRPr="008E2B3B">
        <w:rPr>
          <w:rFonts w:eastAsia="宋体"/>
          <w:kern w:val="0"/>
          <w:szCs w:val="20"/>
        </w:rPr>
        <w:t>"</w:t>
      </w:r>
      <w:r w:rsidRPr="008E2B3B">
        <w:rPr>
          <w:rFonts w:eastAsia="宋体"/>
          <w:kern w:val="0"/>
          <w:szCs w:val="20"/>
        </w:rPr>
        <w:t>基准剂量方法</w:t>
      </w:r>
      <w:r w:rsidRPr="008E2B3B">
        <w:rPr>
          <w:rFonts w:eastAsia="宋体"/>
          <w:kern w:val="0"/>
          <w:szCs w:val="20"/>
        </w:rPr>
        <w:t>——</w:t>
      </w:r>
      <w:r w:rsidRPr="008E2B3B">
        <w:rPr>
          <w:rFonts w:eastAsia="宋体"/>
          <w:kern w:val="0"/>
          <w:szCs w:val="20"/>
        </w:rPr>
        <w:t>现有模型的审查，以及用于健康风险评估的建议</w:t>
      </w:r>
      <w:r w:rsidRPr="008E2B3B">
        <w:rPr>
          <w:rFonts w:eastAsia="宋体"/>
          <w:kern w:val="0"/>
          <w:szCs w:val="20"/>
        </w:rPr>
        <w:t>"</w:t>
      </w:r>
      <w:r w:rsidRPr="008E2B3B">
        <w:rPr>
          <w:rFonts w:eastAsia="宋体"/>
          <w:kern w:val="0"/>
          <w:szCs w:val="20"/>
        </w:rPr>
        <w:t>，</w:t>
      </w:r>
      <w:proofErr w:type="spellStart"/>
      <w:r w:rsidRPr="008E2B3B">
        <w:rPr>
          <w:rFonts w:eastAsia="宋体"/>
          <w:kern w:val="0"/>
          <w:szCs w:val="20"/>
        </w:rPr>
        <w:t>Crit</w:t>
      </w:r>
      <w:proofErr w:type="spellEnd"/>
      <w:r w:rsidRPr="008E2B3B">
        <w:rPr>
          <w:rFonts w:eastAsia="宋体"/>
          <w:kern w:val="0"/>
          <w:szCs w:val="20"/>
        </w:rPr>
        <w:t xml:space="preserve"> Rev </w:t>
      </w:r>
      <w:r w:rsidRPr="008E2B3B">
        <w:rPr>
          <w:rFonts w:eastAsia="宋体"/>
          <w:kern w:val="0"/>
          <w:szCs w:val="20"/>
        </w:rPr>
        <w:t>毒理醇，第</w:t>
      </w:r>
      <w:r w:rsidRPr="008E2B3B">
        <w:rPr>
          <w:rFonts w:eastAsia="宋体"/>
          <w:kern w:val="0"/>
          <w:szCs w:val="20"/>
        </w:rPr>
        <w:t xml:space="preserve"> 33 </w:t>
      </w:r>
      <w:r w:rsidRPr="008E2B3B">
        <w:rPr>
          <w:rFonts w:eastAsia="宋体"/>
          <w:kern w:val="0"/>
          <w:szCs w:val="20"/>
        </w:rPr>
        <w:t>卷，第</w:t>
      </w:r>
      <w:r w:rsidRPr="008E2B3B">
        <w:rPr>
          <w:rFonts w:eastAsia="宋体"/>
          <w:kern w:val="0"/>
          <w:szCs w:val="20"/>
        </w:rPr>
        <w:t xml:space="preserve"> 5 </w:t>
      </w:r>
      <w:r w:rsidRPr="008E2B3B">
        <w:rPr>
          <w:rFonts w:eastAsia="宋体"/>
          <w:kern w:val="0"/>
          <w:szCs w:val="20"/>
        </w:rPr>
        <w:t>号，</w:t>
      </w:r>
      <w:r w:rsidRPr="008E2B3B">
        <w:rPr>
          <w:rFonts w:eastAsia="宋体"/>
          <w:kern w:val="0"/>
          <w:szCs w:val="20"/>
        </w:rPr>
        <w:t xml:space="preserve">2003 </w:t>
      </w:r>
      <w:r w:rsidRPr="008E2B3B">
        <w:rPr>
          <w:rFonts w:eastAsia="宋体"/>
          <w:kern w:val="0"/>
          <w:szCs w:val="20"/>
        </w:rPr>
        <w:t>年，第</w:t>
      </w:r>
      <w:r w:rsidRPr="008E2B3B">
        <w:rPr>
          <w:rFonts w:eastAsia="宋体"/>
          <w:kern w:val="0"/>
          <w:szCs w:val="20"/>
        </w:rPr>
        <w:t xml:space="preserve"> 505-542 </w:t>
      </w:r>
      <w:r w:rsidRPr="008E2B3B">
        <w:rPr>
          <w:rFonts w:eastAsia="宋体"/>
          <w:kern w:val="0"/>
          <w:szCs w:val="20"/>
        </w:rPr>
        <w:t>页。</w:t>
      </w:r>
    </w:p>
    <w:p w14:paraId="37603F9A"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48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哈伯，</w:t>
      </w:r>
      <w:r w:rsidRPr="008E2B3B">
        <w:rPr>
          <w:rFonts w:eastAsia="宋体"/>
          <w:kern w:val="0"/>
          <w:szCs w:val="20"/>
        </w:rPr>
        <w:t xml:space="preserve"> L. T.</w:t>
      </w:r>
      <w:r w:rsidRPr="008E2B3B">
        <w:rPr>
          <w:rFonts w:eastAsia="宋体"/>
          <w:kern w:val="0"/>
          <w:szCs w:val="20"/>
        </w:rPr>
        <w:t>等人，</w:t>
      </w:r>
      <w:r w:rsidRPr="008E2B3B">
        <w:rPr>
          <w:rFonts w:eastAsia="宋体"/>
          <w:kern w:val="0"/>
          <w:szCs w:val="20"/>
        </w:rPr>
        <w:t xml:space="preserve">" </w:t>
      </w:r>
      <w:r w:rsidRPr="008E2B3B">
        <w:rPr>
          <w:rFonts w:eastAsia="宋体"/>
          <w:kern w:val="0"/>
          <w:szCs w:val="20"/>
        </w:rPr>
        <w:t>基准剂量</w:t>
      </w:r>
      <w:r w:rsidRPr="008E2B3B">
        <w:rPr>
          <w:rFonts w:eastAsia="宋体"/>
          <w:kern w:val="0"/>
          <w:szCs w:val="20"/>
        </w:rPr>
        <w:t xml:space="preserve"> </w:t>
      </w:r>
      <w:r w:rsidRPr="008E2B3B">
        <w:rPr>
          <w:rFonts w:eastAsia="宋体"/>
          <w:kern w:val="0"/>
          <w:szCs w:val="20"/>
        </w:rPr>
        <w:t>（</w:t>
      </w:r>
      <w:r w:rsidRPr="008E2B3B">
        <w:rPr>
          <w:rFonts w:eastAsia="宋体"/>
          <w:kern w:val="0"/>
          <w:szCs w:val="20"/>
        </w:rPr>
        <w:t>BMD</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建模：</w:t>
      </w:r>
      <w:r w:rsidRPr="008E2B3B">
        <w:rPr>
          <w:rFonts w:eastAsia="宋体"/>
          <w:kern w:val="0"/>
          <w:szCs w:val="20"/>
        </w:rPr>
        <w:t xml:space="preserve"> </w:t>
      </w:r>
      <w:r w:rsidRPr="008E2B3B">
        <w:rPr>
          <w:rFonts w:eastAsia="宋体"/>
          <w:kern w:val="0"/>
          <w:szCs w:val="20"/>
        </w:rPr>
        <w:t>当前实践，</w:t>
      </w:r>
      <w:r w:rsidRPr="008E2B3B">
        <w:rPr>
          <w:rFonts w:eastAsia="宋体"/>
          <w:kern w:val="0"/>
          <w:szCs w:val="20"/>
        </w:rPr>
        <w:t xml:space="preserve"> </w:t>
      </w:r>
      <w:r w:rsidRPr="008E2B3B">
        <w:rPr>
          <w:rFonts w:eastAsia="宋体"/>
          <w:kern w:val="0"/>
          <w:szCs w:val="20"/>
        </w:rPr>
        <w:t>问题和挑战，</w:t>
      </w:r>
      <w:r w:rsidRPr="008E2B3B">
        <w:rPr>
          <w:rFonts w:eastAsia="宋体"/>
          <w:kern w:val="0"/>
          <w:szCs w:val="20"/>
        </w:rPr>
        <w:t xml:space="preserve">" </w:t>
      </w:r>
      <w:proofErr w:type="spellStart"/>
      <w:r w:rsidRPr="008E2B3B">
        <w:rPr>
          <w:rFonts w:eastAsia="宋体"/>
          <w:kern w:val="0"/>
          <w:szCs w:val="20"/>
        </w:rPr>
        <w:t>Crit</w:t>
      </w:r>
      <w:proofErr w:type="spellEnd"/>
      <w:r w:rsidRPr="008E2B3B">
        <w:rPr>
          <w:rFonts w:eastAsia="宋体"/>
          <w:kern w:val="0"/>
          <w:szCs w:val="20"/>
        </w:rPr>
        <w:t xml:space="preserve"> Rev </w:t>
      </w:r>
      <w:r w:rsidRPr="008E2B3B">
        <w:rPr>
          <w:rFonts w:eastAsia="宋体"/>
          <w:kern w:val="0"/>
          <w:szCs w:val="20"/>
        </w:rPr>
        <w:t>毒理醇，</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48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5 </w:t>
      </w:r>
      <w:r w:rsidRPr="008E2B3B">
        <w:rPr>
          <w:rFonts w:eastAsia="宋体"/>
          <w:kern w:val="0"/>
          <w:szCs w:val="20"/>
        </w:rPr>
        <w:t>号，</w:t>
      </w:r>
      <w:r w:rsidRPr="008E2B3B">
        <w:rPr>
          <w:rFonts w:eastAsia="宋体"/>
          <w:kern w:val="0"/>
          <w:szCs w:val="20"/>
        </w:rPr>
        <w:t xml:space="preserve"> 2018</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387-415 </w:t>
      </w:r>
      <w:r w:rsidRPr="008E2B3B">
        <w:rPr>
          <w:rFonts w:eastAsia="宋体"/>
          <w:kern w:val="0"/>
          <w:szCs w:val="20"/>
        </w:rPr>
        <w:t>页。</w:t>
      </w:r>
    </w:p>
    <w:p w14:paraId="0274D9B4"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49</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Crump</w:t>
      </w:r>
      <w:r w:rsidRPr="008E2B3B">
        <w:rPr>
          <w:rFonts w:eastAsia="宋体"/>
          <w:kern w:val="0"/>
          <w:szCs w:val="20"/>
        </w:rPr>
        <w:t>，</w:t>
      </w:r>
      <w:r w:rsidRPr="008E2B3B">
        <w:rPr>
          <w:rFonts w:eastAsia="宋体"/>
          <w:kern w:val="0"/>
          <w:szCs w:val="20"/>
        </w:rPr>
        <w:t xml:space="preserve"> K. S.</w:t>
      </w:r>
      <w:r w:rsidRPr="008E2B3B">
        <w:rPr>
          <w:rFonts w:eastAsia="宋体"/>
          <w:kern w:val="0"/>
          <w:szCs w:val="20"/>
        </w:rPr>
        <w:t>，</w:t>
      </w:r>
      <w:r w:rsidRPr="008E2B3B">
        <w:rPr>
          <w:rFonts w:eastAsia="宋体"/>
          <w:kern w:val="0"/>
          <w:szCs w:val="20"/>
        </w:rPr>
        <w:t xml:space="preserve"> "</w:t>
      </w:r>
      <w:r w:rsidRPr="008E2B3B">
        <w:rPr>
          <w:rFonts w:eastAsia="宋体"/>
          <w:kern w:val="0"/>
          <w:szCs w:val="20"/>
        </w:rPr>
        <w:t>从动物数据中改进的低剂量致癌风险评估程序</w:t>
      </w:r>
      <w:r w:rsidRPr="008E2B3B">
        <w:rPr>
          <w:rFonts w:eastAsia="宋体"/>
          <w:kern w:val="0"/>
          <w:szCs w:val="20"/>
        </w:rPr>
        <w:t>"</w:t>
      </w:r>
      <w:r w:rsidRPr="008E2B3B">
        <w:rPr>
          <w:rFonts w:eastAsia="宋体"/>
          <w:kern w:val="0"/>
          <w:szCs w:val="20"/>
        </w:rPr>
        <w:t>，</w:t>
      </w:r>
      <w:r w:rsidRPr="008E2B3B">
        <w:rPr>
          <w:rFonts w:eastAsia="宋体"/>
          <w:kern w:val="0"/>
          <w:szCs w:val="20"/>
        </w:rPr>
        <w:t xml:space="preserve">J Environ </w:t>
      </w:r>
      <w:proofErr w:type="spellStart"/>
      <w:r w:rsidRPr="008E2B3B">
        <w:rPr>
          <w:rFonts w:eastAsia="宋体"/>
          <w:kern w:val="0"/>
          <w:szCs w:val="20"/>
        </w:rPr>
        <w:t>Pathol</w:t>
      </w:r>
      <w:proofErr w:type="spellEnd"/>
      <w:r w:rsidRPr="008E2B3B">
        <w:rPr>
          <w:rFonts w:eastAsia="宋体"/>
          <w:kern w:val="0"/>
          <w:szCs w:val="20"/>
        </w:rPr>
        <w:t xml:space="preserve"> </w:t>
      </w:r>
      <w:r w:rsidRPr="008E2B3B">
        <w:rPr>
          <w:rFonts w:eastAsia="宋体"/>
          <w:kern w:val="0"/>
          <w:szCs w:val="20"/>
        </w:rPr>
        <w:t>毒醇</w:t>
      </w:r>
      <w:r w:rsidRPr="008E2B3B">
        <w:rPr>
          <w:rFonts w:eastAsia="宋体"/>
          <w:kern w:val="0"/>
          <w:szCs w:val="20"/>
        </w:rPr>
        <w:t xml:space="preserve"> Oncol</w:t>
      </w:r>
      <w:r w:rsidRPr="008E2B3B">
        <w:rPr>
          <w:rFonts w:eastAsia="宋体"/>
          <w:kern w:val="0"/>
          <w:szCs w:val="20"/>
        </w:rPr>
        <w:t>，</w:t>
      </w:r>
      <w:r w:rsidRPr="008E2B3B">
        <w:rPr>
          <w:rFonts w:eastAsia="宋体"/>
          <w:kern w:val="0"/>
          <w:szCs w:val="20"/>
        </w:rPr>
        <w:t xml:space="preserve"> Vol 5</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4-5 </w:t>
      </w:r>
      <w:r w:rsidRPr="008E2B3B">
        <w:rPr>
          <w:rFonts w:eastAsia="宋体"/>
          <w:kern w:val="0"/>
          <w:szCs w:val="20"/>
        </w:rPr>
        <w:t>号，</w:t>
      </w:r>
      <w:r w:rsidRPr="008E2B3B">
        <w:rPr>
          <w:rFonts w:eastAsia="宋体"/>
          <w:kern w:val="0"/>
          <w:szCs w:val="20"/>
        </w:rPr>
        <w:t xml:space="preserve"> 1984 </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339-348 </w:t>
      </w:r>
      <w:r w:rsidRPr="008E2B3B">
        <w:rPr>
          <w:rFonts w:eastAsia="宋体"/>
          <w:kern w:val="0"/>
          <w:szCs w:val="20"/>
        </w:rPr>
        <w:t>页</w:t>
      </w:r>
      <w:r w:rsidRPr="008E2B3B">
        <w:rPr>
          <w:rFonts w:eastAsia="宋体"/>
          <w:kern w:val="0"/>
          <w:szCs w:val="20"/>
        </w:rPr>
        <w:t>.</w:t>
      </w:r>
    </w:p>
    <w:p w14:paraId="57D0914D"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50</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Reichard</w:t>
      </w:r>
      <w:r w:rsidRPr="008E2B3B">
        <w:rPr>
          <w:rFonts w:eastAsia="宋体"/>
          <w:kern w:val="0"/>
          <w:szCs w:val="20"/>
        </w:rPr>
        <w:t>，</w:t>
      </w:r>
      <w:r w:rsidRPr="008E2B3B">
        <w:rPr>
          <w:rFonts w:eastAsia="宋体"/>
          <w:kern w:val="0"/>
          <w:szCs w:val="20"/>
        </w:rPr>
        <w:t xml:space="preserve"> J. F.</w:t>
      </w:r>
      <w:r w:rsidRPr="008E2B3B">
        <w:rPr>
          <w:rFonts w:eastAsia="宋体"/>
          <w:kern w:val="0"/>
          <w:szCs w:val="20"/>
        </w:rPr>
        <w:t>等人，</w:t>
      </w:r>
      <w:r w:rsidRPr="008E2B3B">
        <w:rPr>
          <w:rFonts w:eastAsia="宋体"/>
          <w:kern w:val="0"/>
          <w:szCs w:val="20"/>
        </w:rPr>
        <w:t xml:space="preserve">" </w:t>
      </w:r>
      <w:r w:rsidRPr="008E2B3B">
        <w:rPr>
          <w:rFonts w:eastAsia="宋体"/>
          <w:kern w:val="0"/>
          <w:szCs w:val="20"/>
        </w:rPr>
        <w:t>在衍生基于健康药物的暴露限值时，</w:t>
      </w:r>
      <w:r w:rsidRPr="008E2B3B">
        <w:rPr>
          <w:rFonts w:eastAsia="宋体"/>
          <w:kern w:val="0"/>
          <w:szCs w:val="20"/>
        </w:rPr>
        <w:t xml:space="preserve"> </w:t>
      </w:r>
      <w:r w:rsidRPr="008E2B3B">
        <w:rPr>
          <w:rFonts w:eastAsia="宋体"/>
          <w:kern w:val="0"/>
          <w:szCs w:val="20"/>
        </w:rPr>
        <w:t>毒能和有毒动力学的考虑因素</w:t>
      </w:r>
      <w:r w:rsidRPr="008E2B3B">
        <w:rPr>
          <w:rFonts w:eastAsia="宋体"/>
          <w:kern w:val="0"/>
          <w:szCs w:val="20"/>
        </w:rPr>
        <w:t xml:space="preserve">" </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药剂，</w:t>
      </w:r>
      <w:r w:rsidRPr="008E2B3B">
        <w:rPr>
          <w:rFonts w:eastAsia="宋体"/>
          <w:kern w:val="0"/>
          <w:szCs w:val="20"/>
        </w:rPr>
        <w:t xml:space="preserve"> Vol 79</w:t>
      </w:r>
      <w:r w:rsidRPr="008E2B3B">
        <w:rPr>
          <w:rFonts w:eastAsia="宋体"/>
          <w:kern w:val="0"/>
          <w:szCs w:val="20"/>
        </w:rPr>
        <w:t>，</w:t>
      </w:r>
      <w:r w:rsidRPr="008E2B3B">
        <w:rPr>
          <w:rFonts w:eastAsia="宋体"/>
          <w:kern w:val="0"/>
          <w:szCs w:val="20"/>
        </w:rPr>
        <w:t xml:space="preserve"> Suppl 1</w:t>
      </w:r>
      <w:r w:rsidRPr="008E2B3B">
        <w:rPr>
          <w:rFonts w:eastAsia="宋体"/>
          <w:kern w:val="0"/>
          <w:szCs w:val="20"/>
        </w:rPr>
        <w:t>，</w:t>
      </w:r>
      <w:r w:rsidRPr="008E2B3B">
        <w:rPr>
          <w:rFonts w:eastAsia="宋体"/>
          <w:kern w:val="0"/>
          <w:szCs w:val="20"/>
        </w:rPr>
        <w:t xml:space="preserve"> 2016</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67-S78 </w:t>
      </w:r>
      <w:r w:rsidRPr="008E2B3B">
        <w:rPr>
          <w:rFonts w:eastAsia="宋体"/>
          <w:kern w:val="0"/>
          <w:szCs w:val="20"/>
        </w:rPr>
        <w:t>页</w:t>
      </w:r>
      <w:r w:rsidRPr="008E2B3B">
        <w:rPr>
          <w:rFonts w:eastAsia="宋体"/>
          <w:kern w:val="0"/>
          <w:szCs w:val="20"/>
        </w:rPr>
        <w:t>.</w:t>
      </w:r>
    </w:p>
    <w:p w14:paraId="776318AE"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51</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Olson</w:t>
      </w:r>
      <w:r w:rsidRPr="008E2B3B">
        <w:rPr>
          <w:rFonts w:eastAsia="宋体"/>
          <w:kern w:val="0"/>
          <w:szCs w:val="20"/>
        </w:rPr>
        <w:t>，</w:t>
      </w:r>
      <w:r w:rsidRPr="008E2B3B">
        <w:rPr>
          <w:rFonts w:eastAsia="宋体"/>
          <w:kern w:val="0"/>
          <w:szCs w:val="20"/>
        </w:rPr>
        <w:t xml:space="preserve"> M. J.</w:t>
      </w:r>
      <w:r w:rsidRPr="008E2B3B">
        <w:rPr>
          <w:rFonts w:eastAsia="宋体"/>
          <w:kern w:val="0"/>
          <w:szCs w:val="20"/>
        </w:rPr>
        <w:t>等人，</w:t>
      </w:r>
      <w:r w:rsidRPr="008E2B3B">
        <w:rPr>
          <w:rFonts w:eastAsia="宋体"/>
          <w:kern w:val="0"/>
          <w:szCs w:val="20"/>
        </w:rPr>
        <w:t>"</w:t>
      </w:r>
      <w:r w:rsidRPr="008E2B3B">
        <w:rPr>
          <w:rFonts w:eastAsia="宋体"/>
          <w:kern w:val="0"/>
          <w:szCs w:val="20"/>
        </w:rPr>
        <w:t>确保有效沟通适用于药物清洗的可接受的每日接触（</w:t>
      </w:r>
      <w:r w:rsidRPr="008E2B3B">
        <w:rPr>
          <w:rFonts w:eastAsia="宋体"/>
          <w:kern w:val="0"/>
          <w:szCs w:val="20"/>
        </w:rPr>
        <w:t>ADE</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值的问题和方法</w:t>
      </w:r>
      <w:r w:rsidRPr="008E2B3B">
        <w:rPr>
          <w:rFonts w:eastAsia="宋体"/>
          <w:kern w:val="0"/>
          <w:szCs w:val="20"/>
        </w:rPr>
        <w:t>"</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药剂，第</w:t>
      </w:r>
      <w:r w:rsidRPr="008E2B3B">
        <w:rPr>
          <w:rFonts w:eastAsia="宋体"/>
          <w:kern w:val="0"/>
          <w:szCs w:val="20"/>
        </w:rPr>
        <w:t>79</w:t>
      </w:r>
      <w:r w:rsidRPr="008E2B3B">
        <w:rPr>
          <w:rFonts w:eastAsia="宋体"/>
          <w:kern w:val="0"/>
          <w:szCs w:val="20"/>
        </w:rPr>
        <w:t>卷，</w:t>
      </w:r>
      <w:r w:rsidRPr="008E2B3B">
        <w:rPr>
          <w:rFonts w:eastAsia="宋体"/>
          <w:kern w:val="0"/>
          <w:szCs w:val="20"/>
        </w:rPr>
        <w:t>Suppl 1</w:t>
      </w:r>
      <w:r w:rsidRPr="008E2B3B">
        <w:rPr>
          <w:rFonts w:eastAsia="宋体"/>
          <w:kern w:val="0"/>
          <w:szCs w:val="20"/>
        </w:rPr>
        <w:t>，</w:t>
      </w:r>
      <w:r w:rsidRPr="008E2B3B">
        <w:rPr>
          <w:rFonts w:eastAsia="宋体"/>
          <w:kern w:val="0"/>
          <w:szCs w:val="20"/>
        </w:rPr>
        <w:t>2016</w:t>
      </w:r>
      <w:r w:rsidRPr="008E2B3B">
        <w:rPr>
          <w:rFonts w:eastAsia="宋体"/>
          <w:kern w:val="0"/>
          <w:szCs w:val="20"/>
        </w:rPr>
        <w:t>年，第</w:t>
      </w:r>
      <w:r w:rsidRPr="008E2B3B">
        <w:rPr>
          <w:rFonts w:eastAsia="宋体"/>
          <w:kern w:val="0"/>
          <w:szCs w:val="20"/>
        </w:rPr>
        <w:t>19-S27</w:t>
      </w:r>
      <w:r w:rsidRPr="008E2B3B">
        <w:rPr>
          <w:rFonts w:eastAsia="宋体"/>
          <w:kern w:val="0"/>
          <w:szCs w:val="20"/>
        </w:rPr>
        <w:t>页。</w:t>
      </w:r>
    </w:p>
    <w:p w14:paraId="2FB6B6A9"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52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关于在共享设施中制造不同药品风险识别时设定基于健康的接触限值的准则、药品检验公约、药品检验合作计划，瑞士日内瓦，</w:t>
      </w:r>
      <w:r w:rsidRPr="008E2B3B">
        <w:rPr>
          <w:rFonts w:eastAsia="宋体"/>
          <w:kern w:val="0"/>
          <w:szCs w:val="20"/>
        </w:rPr>
        <w:t>2018</w:t>
      </w:r>
      <w:r w:rsidRPr="008E2B3B">
        <w:rPr>
          <w:rFonts w:eastAsia="宋体"/>
          <w:kern w:val="0"/>
          <w:szCs w:val="20"/>
        </w:rPr>
        <w:t>年。</w:t>
      </w:r>
    </w:p>
    <w:p w14:paraId="0F8A372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53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EFSA</w:t>
      </w:r>
      <w:r w:rsidRPr="008E2B3B">
        <w:rPr>
          <w:rFonts w:eastAsia="宋体"/>
          <w:kern w:val="0"/>
          <w:szCs w:val="20"/>
        </w:rPr>
        <w:t>科学委员会，</w:t>
      </w:r>
      <w:r w:rsidRPr="008E2B3B">
        <w:rPr>
          <w:rFonts w:eastAsia="宋体"/>
          <w:kern w:val="0"/>
          <w:szCs w:val="20"/>
        </w:rPr>
        <w:t>"</w:t>
      </w:r>
      <w:r w:rsidRPr="008E2B3B">
        <w:rPr>
          <w:rFonts w:eastAsia="宋体"/>
          <w:kern w:val="0"/>
          <w:szCs w:val="20"/>
        </w:rPr>
        <w:t>关于</w:t>
      </w:r>
      <w:r w:rsidRPr="008E2B3B">
        <w:rPr>
          <w:rFonts w:eastAsia="宋体"/>
          <w:kern w:val="0"/>
          <w:szCs w:val="20"/>
        </w:rPr>
        <w:t xml:space="preserve"> EFSA </w:t>
      </w:r>
      <w:r w:rsidRPr="008E2B3B">
        <w:rPr>
          <w:rFonts w:eastAsia="宋体"/>
          <w:kern w:val="0"/>
          <w:szCs w:val="20"/>
        </w:rPr>
        <w:t>科学委员会、科学小组和单位在缺乏实际测量数据的情况下使用的选定默认值的指南</w:t>
      </w:r>
      <w:r w:rsidRPr="008E2B3B">
        <w:rPr>
          <w:rFonts w:eastAsia="宋体"/>
          <w:kern w:val="0"/>
          <w:szCs w:val="20"/>
        </w:rPr>
        <w:t>"</w:t>
      </w:r>
      <w:r w:rsidRPr="008E2B3B">
        <w:rPr>
          <w:rFonts w:eastAsia="宋体"/>
          <w:kern w:val="0"/>
          <w:szCs w:val="20"/>
        </w:rPr>
        <w:t>，</w:t>
      </w:r>
      <w:r w:rsidRPr="008E2B3B">
        <w:rPr>
          <w:rFonts w:eastAsia="宋体"/>
          <w:kern w:val="0"/>
          <w:szCs w:val="20"/>
        </w:rPr>
        <w:t>EFSA J</w:t>
      </w:r>
      <w:r w:rsidRPr="008E2B3B">
        <w:rPr>
          <w:rFonts w:eastAsia="宋体"/>
          <w:kern w:val="0"/>
          <w:szCs w:val="20"/>
        </w:rPr>
        <w:t>，第</w:t>
      </w:r>
      <w:r w:rsidRPr="008E2B3B">
        <w:rPr>
          <w:rFonts w:eastAsia="宋体"/>
          <w:kern w:val="0"/>
          <w:szCs w:val="20"/>
        </w:rPr>
        <w:t xml:space="preserve"> 10 </w:t>
      </w:r>
      <w:r w:rsidRPr="008E2B3B">
        <w:rPr>
          <w:rFonts w:eastAsia="宋体"/>
          <w:kern w:val="0"/>
          <w:szCs w:val="20"/>
        </w:rPr>
        <w:t>卷，</w:t>
      </w:r>
      <w:r w:rsidRPr="008E2B3B">
        <w:rPr>
          <w:rFonts w:eastAsia="宋体"/>
          <w:kern w:val="0"/>
          <w:szCs w:val="20"/>
        </w:rPr>
        <w:t xml:space="preserve">2012 </w:t>
      </w:r>
      <w:r w:rsidRPr="008E2B3B">
        <w:rPr>
          <w:rFonts w:eastAsia="宋体"/>
          <w:kern w:val="0"/>
          <w:szCs w:val="20"/>
        </w:rPr>
        <w:t>年第</w:t>
      </w:r>
      <w:r w:rsidRPr="008E2B3B">
        <w:rPr>
          <w:rFonts w:eastAsia="宋体"/>
          <w:kern w:val="0"/>
          <w:szCs w:val="20"/>
        </w:rPr>
        <w:t xml:space="preserve"> 3 </w:t>
      </w:r>
      <w:r w:rsidRPr="008E2B3B">
        <w:rPr>
          <w:rFonts w:eastAsia="宋体"/>
          <w:kern w:val="0"/>
          <w:szCs w:val="20"/>
        </w:rPr>
        <w:t>号。</w:t>
      </w:r>
    </w:p>
    <w:p w14:paraId="4472B121"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54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菲利普斯，</w:t>
      </w:r>
      <w:r w:rsidRPr="008E2B3B">
        <w:rPr>
          <w:rFonts w:eastAsia="宋体"/>
          <w:kern w:val="0"/>
          <w:szCs w:val="20"/>
        </w:rPr>
        <w:t>L.J.</w:t>
      </w:r>
      <w:r w:rsidRPr="008E2B3B">
        <w:rPr>
          <w:rFonts w:eastAsia="宋体"/>
          <w:kern w:val="0"/>
          <w:szCs w:val="20"/>
        </w:rPr>
        <w:t>和莫亚，</w:t>
      </w:r>
      <w:r w:rsidRPr="008E2B3B">
        <w:rPr>
          <w:rFonts w:eastAsia="宋体"/>
          <w:kern w:val="0"/>
          <w:szCs w:val="20"/>
        </w:rPr>
        <w:t>J.</w:t>
      </w:r>
      <w:r w:rsidRPr="008E2B3B">
        <w:rPr>
          <w:rFonts w:eastAsia="宋体"/>
          <w:kern w:val="0"/>
          <w:szCs w:val="20"/>
        </w:rPr>
        <w:t>，</w:t>
      </w:r>
      <w:r w:rsidRPr="008E2B3B">
        <w:rPr>
          <w:rFonts w:eastAsia="宋体"/>
          <w:kern w:val="0"/>
          <w:szCs w:val="20"/>
        </w:rPr>
        <w:t>"</w:t>
      </w:r>
      <w:r w:rsidRPr="008E2B3B">
        <w:rPr>
          <w:rFonts w:eastAsia="宋体"/>
          <w:kern w:val="0"/>
          <w:szCs w:val="20"/>
        </w:rPr>
        <w:t>暴露因素资源：对比</w:t>
      </w:r>
      <w:r w:rsidRPr="008E2B3B">
        <w:rPr>
          <w:rFonts w:eastAsia="宋体"/>
          <w:kern w:val="0"/>
          <w:szCs w:val="20"/>
        </w:rPr>
        <w:t>EPA</w:t>
      </w:r>
      <w:r w:rsidRPr="008E2B3B">
        <w:rPr>
          <w:rFonts w:eastAsia="宋体"/>
          <w:kern w:val="0"/>
          <w:szCs w:val="20"/>
        </w:rPr>
        <w:t>的暴露因素手册与国际来源，</w:t>
      </w:r>
      <w:r w:rsidRPr="008E2B3B">
        <w:rPr>
          <w:rFonts w:eastAsia="宋体"/>
          <w:kern w:val="0"/>
          <w:szCs w:val="20"/>
        </w:rPr>
        <w:t>"J Expo</w:t>
      </w:r>
      <w:r w:rsidRPr="008E2B3B">
        <w:rPr>
          <w:rFonts w:eastAsia="宋体"/>
          <w:kern w:val="0"/>
          <w:szCs w:val="20"/>
        </w:rPr>
        <w:t>科学环境</w:t>
      </w:r>
      <w:r w:rsidRPr="008E2B3B">
        <w:rPr>
          <w:rFonts w:eastAsia="宋体"/>
          <w:kern w:val="0"/>
          <w:szCs w:val="20"/>
        </w:rPr>
        <w:t>Epidemiol</w:t>
      </w:r>
      <w:r w:rsidRPr="008E2B3B">
        <w:rPr>
          <w:rFonts w:eastAsia="宋体"/>
          <w:kern w:val="0"/>
          <w:szCs w:val="20"/>
        </w:rPr>
        <w:t>，第</w:t>
      </w:r>
      <w:r w:rsidRPr="008E2B3B">
        <w:rPr>
          <w:rFonts w:eastAsia="宋体"/>
          <w:kern w:val="0"/>
          <w:szCs w:val="20"/>
        </w:rPr>
        <w:t>24</w:t>
      </w:r>
      <w:r w:rsidRPr="008E2B3B">
        <w:rPr>
          <w:rFonts w:eastAsia="宋体"/>
          <w:kern w:val="0"/>
          <w:szCs w:val="20"/>
        </w:rPr>
        <w:t>卷，第</w:t>
      </w:r>
      <w:r w:rsidRPr="008E2B3B">
        <w:rPr>
          <w:rFonts w:eastAsia="宋体"/>
          <w:kern w:val="0"/>
          <w:szCs w:val="20"/>
        </w:rPr>
        <w:t>3</w:t>
      </w:r>
      <w:r w:rsidRPr="008E2B3B">
        <w:rPr>
          <w:rFonts w:eastAsia="宋体"/>
          <w:kern w:val="0"/>
          <w:szCs w:val="20"/>
        </w:rPr>
        <w:t>号，</w:t>
      </w:r>
      <w:r w:rsidRPr="008E2B3B">
        <w:rPr>
          <w:rFonts w:eastAsia="宋体"/>
          <w:kern w:val="0"/>
          <w:szCs w:val="20"/>
        </w:rPr>
        <w:t>2014</w:t>
      </w:r>
      <w:r w:rsidRPr="008E2B3B">
        <w:rPr>
          <w:rFonts w:eastAsia="宋体"/>
          <w:kern w:val="0"/>
          <w:szCs w:val="20"/>
        </w:rPr>
        <w:t>年，第</w:t>
      </w:r>
      <w:r w:rsidRPr="008E2B3B">
        <w:rPr>
          <w:rFonts w:eastAsia="宋体"/>
          <w:kern w:val="0"/>
          <w:szCs w:val="20"/>
        </w:rPr>
        <w:t>233-243</w:t>
      </w:r>
      <w:r w:rsidRPr="008E2B3B">
        <w:rPr>
          <w:rFonts w:eastAsia="宋体"/>
          <w:kern w:val="0"/>
          <w:szCs w:val="20"/>
        </w:rPr>
        <w:t>页。</w:t>
      </w:r>
    </w:p>
    <w:p w14:paraId="7F02104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55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儿童特定接触因素手册，国家环境评估中心，研究与发展办公室，华盛顿特区，</w:t>
      </w:r>
      <w:r w:rsidRPr="008E2B3B">
        <w:rPr>
          <w:rFonts w:eastAsia="宋体"/>
          <w:kern w:val="0"/>
          <w:szCs w:val="20"/>
        </w:rPr>
        <w:t>2008</w:t>
      </w:r>
      <w:r w:rsidRPr="008E2B3B">
        <w:rPr>
          <w:rFonts w:eastAsia="宋体"/>
          <w:kern w:val="0"/>
          <w:szCs w:val="20"/>
        </w:rPr>
        <w:t>年。</w:t>
      </w:r>
    </w:p>
    <w:p w14:paraId="0D379D6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56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暴露因素手册：</w:t>
      </w:r>
      <w:r w:rsidRPr="008E2B3B">
        <w:rPr>
          <w:rFonts w:eastAsia="宋体"/>
          <w:kern w:val="0"/>
          <w:szCs w:val="20"/>
        </w:rPr>
        <w:t>2011</w:t>
      </w:r>
      <w:r w:rsidRPr="008E2B3B">
        <w:rPr>
          <w:rFonts w:eastAsia="宋体"/>
          <w:kern w:val="0"/>
          <w:szCs w:val="20"/>
        </w:rPr>
        <w:t>年版，美国国家环境评估中心，美国环境保护局，华盛顿特区，</w:t>
      </w:r>
      <w:r w:rsidRPr="008E2B3B">
        <w:rPr>
          <w:rFonts w:eastAsia="宋体"/>
          <w:kern w:val="0"/>
          <w:szCs w:val="20"/>
        </w:rPr>
        <w:t>2011</w:t>
      </w:r>
      <w:r w:rsidRPr="008E2B3B">
        <w:rPr>
          <w:rFonts w:eastAsia="宋体"/>
          <w:kern w:val="0"/>
          <w:szCs w:val="20"/>
        </w:rPr>
        <w:t>年版。</w:t>
      </w:r>
    </w:p>
    <w:p w14:paraId="299F67C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57</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关于实施基于风险的预防生产中交叉污染的问题和答案，以及《关于在共用设施中制造不同药品制造风险识别风险设定基于健康的接触限值的准则》（</w:t>
      </w:r>
      <w:r w:rsidRPr="008E2B3B">
        <w:rPr>
          <w:rFonts w:eastAsia="宋体"/>
          <w:kern w:val="0"/>
          <w:szCs w:val="20"/>
        </w:rPr>
        <w:t>2016</w:t>
      </w:r>
      <w:r w:rsidRPr="008E2B3B">
        <w:rPr>
          <w:rFonts w:eastAsia="宋体"/>
          <w:kern w:val="0"/>
          <w:szCs w:val="20"/>
        </w:rPr>
        <w:t>年</w:t>
      </w:r>
      <w:r w:rsidRPr="008E2B3B">
        <w:rPr>
          <w:rFonts w:eastAsia="宋体"/>
          <w:kern w:val="0"/>
          <w:szCs w:val="20"/>
        </w:rPr>
        <w:t>12</w:t>
      </w:r>
      <w:r w:rsidRPr="008E2B3B">
        <w:rPr>
          <w:rFonts w:eastAsia="宋体"/>
          <w:kern w:val="0"/>
          <w:szCs w:val="20"/>
        </w:rPr>
        <w:t>月</w:t>
      </w:r>
      <w:r w:rsidRPr="008E2B3B">
        <w:rPr>
          <w:rFonts w:eastAsia="宋体"/>
          <w:kern w:val="0"/>
          <w:szCs w:val="20"/>
        </w:rPr>
        <w:t>15</w:t>
      </w:r>
      <w:r w:rsidRPr="008E2B3B">
        <w:rPr>
          <w:rFonts w:eastAsia="宋体"/>
          <w:kern w:val="0"/>
          <w:szCs w:val="20"/>
        </w:rPr>
        <w:t>日草案），</w:t>
      </w:r>
      <w:r w:rsidRPr="008E2B3B">
        <w:rPr>
          <w:rFonts w:eastAsia="宋体"/>
          <w:kern w:val="0"/>
          <w:szCs w:val="20"/>
        </w:rPr>
        <w:t>EMA/CHMP/CVMP/SWP/169430/2012</w:t>
      </w:r>
      <w:r w:rsidRPr="008E2B3B">
        <w:rPr>
          <w:rFonts w:eastAsia="宋体"/>
          <w:kern w:val="0"/>
          <w:szCs w:val="20"/>
        </w:rPr>
        <w:t>，欧洲药品局，伦敦，联合王国，</w:t>
      </w:r>
      <w:r w:rsidRPr="008E2B3B">
        <w:rPr>
          <w:rFonts w:eastAsia="宋体"/>
          <w:kern w:val="0"/>
          <w:szCs w:val="20"/>
        </w:rPr>
        <w:t>2016</w:t>
      </w:r>
      <w:r w:rsidRPr="008E2B3B">
        <w:rPr>
          <w:rFonts w:eastAsia="宋体"/>
          <w:kern w:val="0"/>
          <w:szCs w:val="20"/>
        </w:rPr>
        <w:t>年。</w:t>
      </w:r>
    </w:p>
    <w:p w14:paraId="635DA0A0"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58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工业指南。估算成人健康志愿者治疗初始临床试验的最大安全起始剂量，美国卫生与人类服务部，食品和药物管理局，药物评估和研究中心（</w:t>
      </w:r>
      <w:r w:rsidRPr="008E2B3B">
        <w:rPr>
          <w:rFonts w:eastAsia="宋体"/>
          <w:kern w:val="0"/>
          <w:szCs w:val="20"/>
        </w:rPr>
        <w:t>CDER</w:t>
      </w:r>
      <w:r w:rsidRPr="008E2B3B">
        <w:rPr>
          <w:rFonts w:eastAsia="宋体"/>
          <w:kern w:val="0"/>
          <w:szCs w:val="20"/>
        </w:rPr>
        <w:t>），罗克维尔，马里兰州，</w:t>
      </w:r>
      <w:r w:rsidRPr="008E2B3B">
        <w:rPr>
          <w:rFonts w:eastAsia="宋体"/>
          <w:kern w:val="0"/>
          <w:szCs w:val="20"/>
        </w:rPr>
        <w:t>2005</w:t>
      </w:r>
      <w:r w:rsidRPr="008E2B3B">
        <w:rPr>
          <w:rFonts w:eastAsia="宋体"/>
          <w:kern w:val="0"/>
          <w:szCs w:val="20"/>
        </w:rPr>
        <w:t>年</w:t>
      </w:r>
      <w:r w:rsidRPr="008E2B3B">
        <w:rPr>
          <w:rFonts w:eastAsia="宋体"/>
          <w:kern w:val="0"/>
          <w:szCs w:val="20"/>
        </w:rPr>
        <w:t>7</w:t>
      </w:r>
      <w:r w:rsidRPr="008E2B3B">
        <w:rPr>
          <w:rFonts w:eastAsia="宋体"/>
          <w:kern w:val="0"/>
          <w:szCs w:val="20"/>
        </w:rPr>
        <w:t>月，第</w:t>
      </w:r>
      <w:r w:rsidRPr="008E2B3B">
        <w:rPr>
          <w:rFonts w:eastAsia="宋体"/>
          <w:kern w:val="0"/>
          <w:szCs w:val="20"/>
        </w:rPr>
        <w:t>30</w:t>
      </w:r>
      <w:r w:rsidRPr="008E2B3B">
        <w:rPr>
          <w:rFonts w:eastAsia="宋体"/>
          <w:kern w:val="0"/>
          <w:szCs w:val="20"/>
        </w:rPr>
        <w:t>。</w:t>
      </w:r>
    </w:p>
    <w:p w14:paraId="19E7F7B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59</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Saber</w:t>
      </w:r>
      <w:r w:rsidRPr="008E2B3B">
        <w:rPr>
          <w:rFonts w:eastAsia="宋体"/>
          <w:kern w:val="0"/>
          <w:szCs w:val="20"/>
        </w:rPr>
        <w:t>，</w:t>
      </w:r>
      <w:r w:rsidRPr="008E2B3B">
        <w:rPr>
          <w:rFonts w:eastAsia="宋体"/>
          <w:kern w:val="0"/>
          <w:szCs w:val="20"/>
        </w:rPr>
        <w:t>H.</w:t>
      </w:r>
      <w:r w:rsidRPr="008E2B3B">
        <w:rPr>
          <w:rFonts w:eastAsia="宋体"/>
          <w:kern w:val="0"/>
          <w:szCs w:val="20"/>
        </w:rPr>
        <w:t>等人，</w:t>
      </w:r>
      <w:r w:rsidRPr="008E2B3B">
        <w:rPr>
          <w:rFonts w:eastAsia="宋体"/>
          <w:kern w:val="0"/>
          <w:szCs w:val="20"/>
        </w:rPr>
        <w:t>"FDA</w:t>
      </w:r>
      <w:r w:rsidRPr="008E2B3B">
        <w:rPr>
          <w:rFonts w:eastAsia="宋体"/>
          <w:kern w:val="0"/>
          <w:szCs w:val="20"/>
        </w:rPr>
        <w:t>肿瘤学分析</w:t>
      </w:r>
      <w:r w:rsidRPr="008E2B3B">
        <w:rPr>
          <w:rFonts w:eastAsia="宋体"/>
          <w:kern w:val="0"/>
          <w:szCs w:val="20"/>
        </w:rPr>
        <w:t>CD3</w:t>
      </w:r>
      <w:r w:rsidRPr="008E2B3B">
        <w:rPr>
          <w:rFonts w:eastAsia="宋体"/>
          <w:kern w:val="0"/>
          <w:szCs w:val="20"/>
        </w:rPr>
        <w:t>双特异性构造和首次人类剂量选择</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药典，第</w:t>
      </w:r>
      <w:r w:rsidRPr="008E2B3B">
        <w:rPr>
          <w:rFonts w:eastAsia="宋体"/>
          <w:kern w:val="0"/>
          <w:szCs w:val="20"/>
        </w:rPr>
        <w:t>90</w:t>
      </w:r>
      <w:r w:rsidRPr="008E2B3B">
        <w:rPr>
          <w:rFonts w:eastAsia="宋体"/>
          <w:kern w:val="0"/>
          <w:szCs w:val="20"/>
        </w:rPr>
        <w:t>卷，</w:t>
      </w:r>
      <w:r w:rsidRPr="008E2B3B">
        <w:rPr>
          <w:rFonts w:eastAsia="宋体"/>
          <w:kern w:val="0"/>
          <w:szCs w:val="20"/>
        </w:rPr>
        <w:t>2017</w:t>
      </w:r>
      <w:r w:rsidRPr="008E2B3B">
        <w:rPr>
          <w:rFonts w:eastAsia="宋体"/>
          <w:kern w:val="0"/>
          <w:szCs w:val="20"/>
        </w:rPr>
        <w:t>年，第</w:t>
      </w:r>
      <w:r w:rsidRPr="008E2B3B">
        <w:rPr>
          <w:rFonts w:eastAsia="宋体"/>
          <w:kern w:val="0"/>
          <w:szCs w:val="20"/>
        </w:rPr>
        <w:t>144-152</w:t>
      </w:r>
      <w:r w:rsidRPr="008E2B3B">
        <w:rPr>
          <w:rFonts w:eastAsia="宋体"/>
          <w:kern w:val="0"/>
          <w:szCs w:val="20"/>
        </w:rPr>
        <w:t>页。</w:t>
      </w:r>
    </w:p>
    <w:p w14:paraId="7316D5E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60</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Saber</w:t>
      </w:r>
      <w:r w:rsidRPr="008E2B3B">
        <w:rPr>
          <w:rFonts w:eastAsia="宋体"/>
          <w:kern w:val="0"/>
          <w:szCs w:val="20"/>
        </w:rPr>
        <w:t>，</w:t>
      </w:r>
      <w:r w:rsidRPr="008E2B3B">
        <w:rPr>
          <w:rFonts w:eastAsia="宋体"/>
          <w:kern w:val="0"/>
          <w:szCs w:val="20"/>
        </w:rPr>
        <w:t>H.</w:t>
      </w:r>
      <w:r w:rsidRPr="008E2B3B">
        <w:rPr>
          <w:rFonts w:eastAsia="宋体"/>
          <w:kern w:val="0"/>
          <w:szCs w:val="20"/>
        </w:rPr>
        <w:t>等人，</w:t>
      </w:r>
      <w:r w:rsidRPr="008E2B3B">
        <w:rPr>
          <w:rFonts w:eastAsia="宋体"/>
          <w:kern w:val="0"/>
          <w:szCs w:val="20"/>
        </w:rPr>
        <w:t>"FDA</w:t>
      </w:r>
      <w:r w:rsidRPr="008E2B3B">
        <w:rPr>
          <w:rFonts w:eastAsia="宋体"/>
          <w:kern w:val="0"/>
          <w:szCs w:val="20"/>
        </w:rPr>
        <w:t>肿瘤分析免疫激活产品和首次人体剂量选择</w:t>
      </w:r>
      <w:r w:rsidRPr="008E2B3B">
        <w:rPr>
          <w:rFonts w:eastAsia="宋体"/>
          <w:kern w:val="0"/>
          <w:szCs w:val="20"/>
        </w:rPr>
        <w:t>"</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药剂，第</w:t>
      </w:r>
      <w:r w:rsidRPr="008E2B3B">
        <w:rPr>
          <w:rFonts w:eastAsia="宋体"/>
          <w:kern w:val="0"/>
          <w:szCs w:val="20"/>
        </w:rPr>
        <w:t>81</w:t>
      </w:r>
      <w:r w:rsidRPr="008E2B3B">
        <w:rPr>
          <w:rFonts w:eastAsia="宋体"/>
          <w:kern w:val="0"/>
          <w:szCs w:val="20"/>
        </w:rPr>
        <w:t>卷，</w:t>
      </w:r>
      <w:r w:rsidRPr="008E2B3B">
        <w:rPr>
          <w:rFonts w:eastAsia="宋体"/>
          <w:kern w:val="0"/>
          <w:szCs w:val="20"/>
        </w:rPr>
        <w:t>2016</w:t>
      </w:r>
      <w:r w:rsidRPr="008E2B3B">
        <w:rPr>
          <w:rFonts w:eastAsia="宋体"/>
          <w:kern w:val="0"/>
          <w:szCs w:val="20"/>
        </w:rPr>
        <w:t>年，第</w:t>
      </w:r>
      <w:r w:rsidRPr="008E2B3B">
        <w:rPr>
          <w:rFonts w:eastAsia="宋体"/>
          <w:kern w:val="0"/>
          <w:szCs w:val="20"/>
        </w:rPr>
        <w:t>448-456</w:t>
      </w:r>
      <w:r w:rsidRPr="008E2B3B">
        <w:rPr>
          <w:rFonts w:eastAsia="宋体"/>
          <w:kern w:val="0"/>
          <w:szCs w:val="20"/>
        </w:rPr>
        <w:t>页。</w:t>
      </w:r>
    </w:p>
    <w:p w14:paraId="4E1A235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61</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Saber</w:t>
      </w:r>
      <w:r w:rsidRPr="008E2B3B">
        <w:rPr>
          <w:rFonts w:eastAsia="宋体"/>
          <w:kern w:val="0"/>
          <w:szCs w:val="20"/>
        </w:rPr>
        <w:t>，</w:t>
      </w:r>
      <w:r w:rsidRPr="008E2B3B">
        <w:rPr>
          <w:rFonts w:eastAsia="宋体"/>
          <w:kern w:val="0"/>
          <w:szCs w:val="20"/>
        </w:rPr>
        <w:t xml:space="preserve"> H. </w:t>
      </w:r>
      <w:r w:rsidRPr="008E2B3B">
        <w:rPr>
          <w:rFonts w:eastAsia="宋体"/>
          <w:kern w:val="0"/>
          <w:szCs w:val="20"/>
        </w:rPr>
        <w:t>和</w:t>
      </w:r>
      <w:proofErr w:type="gramStart"/>
      <w:r w:rsidRPr="008E2B3B">
        <w:rPr>
          <w:rFonts w:eastAsia="宋体"/>
          <w:kern w:val="0"/>
          <w:szCs w:val="20"/>
        </w:rPr>
        <w:t>莱</w:t>
      </w:r>
      <w:proofErr w:type="gramEnd"/>
      <w:r w:rsidRPr="008E2B3B">
        <w:rPr>
          <w:rFonts w:eastAsia="宋体"/>
          <w:kern w:val="0"/>
          <w:szCs w:val="20"/>
        </w:rPr>
        <w:t>顿，</w:t>
      </w:r>
      <w:r w:rsidRPr="008E2B3B">
        <w:rPr>
          <w:rFonts w:eastAsia="宋体"/>
          <w:kern w:val="0"/>
          <w:szCs w:val="20"/>
        </w:rPr>
        <w:t xml:space="preserve"> J. K.</w:t>
      </w:r>
      <w:r w:rsidRPr="008E2B3B">
        <w:rPr>
          <w:rFonts w:eastAsia="宋体"/>
          <w:kern w:val="0"/>
          <w:szCs w:val="20"/>
        </w:rPr>
        <w:t>，</w:t>
      </w:r>
      <w:r w:rsidRPr="008E2B3B">
        <w:rPr>
          <w:rFonts w:eastAsia="宋体"/>
          <w:kern w:val="0"/>
          <w:szCs w:val="20"/>
        </w:rPr>
        <w:t xml:space="preserve"> "FDA</w:t>
      </w:r>
      <w:r w:rsidRPr="008E2B3B">
        <w:rPr>
          <w:rFonts w:eastAsia="宋体"/>
          <w:kern w:val="0"/>
          <w:szCs w:val="20"/>
        </w:rPr>
        <w:t>肿瘤分析抗体药物结合物</w:t>
      </w:r>
      <w:r w:rsidRPr="008E2B3B">
        <w:rPr>
          <w:rFonts w:eastAsia="宋体"/>
          <w:kern w:val="0"/>
          <w:szCs w:val="20"/>
        </w:rPr>
        <w:t>"</w:t>
      </w:r>
      <w:r w:rsidRPr="008E2B3B">
        <w:rPr>
          <w:rFonts w:eastAsia="宋体"/>
          <w:kern w:val="0"/>
          <w:szCs w:val="20"/>
        </w:rPr>
        <w:t>，</w:t>
      </w:r>
      <w:r w:rsidRPr="008E2B3B">
        <w:rPr>
          <w:rFonts w:eastAsia="宋体"/>
          <w:kern w:val="0"/>
          <w:szCs w:val="20"/>
        </w:rPr>
        <w:t xml:space="preserve"> </w:t>
      </w:r>
      <w:r w:rsidRPr="008E2B3B">
        <w:rPr>
          <w:rFonts w:eastAsia="宋体"/>
          <w:kern w:val="0"/>
          <w:szCs w:val="20"/>
        </w:rPr>
        <w:t>雷古尔毒醇药剂，</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71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3 </w:t>
      </w:r>
      <w:r w:rsidRPr="008E2B3B">
        <w:rPr>
          <w:rFonts w:eastAsia="宋体"/>
          <w:kern w:val="0"/>
          <w:szCs w:val="20"/>
        </w:rPr>
        <w:t>号，</w:t>
      </w:r>
      <w:r w:rsidRPr="008E2B3B">
        <w:rPr>
          <w:rFonts w:eastAsia="宋体"/>
          <w:kern w:val="0"/>
          <w:szCs w:val="20"/>
        </w:rPr>
        <w:t xml:space="preserve"> 2015</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444-452 </w:t>
      </w:r>
      <w:r w:rsidRPr="008E2B3B">
        <w:rPr>
          <w:rFonts w:eastAsia="宋体"/>
          <w:kern w:val="0"/>
          <w:szCs w:val="20"/>
        </w:rPr>
        <w:t>页</w:t>
      </w:r>
      <w:r w:rsidRPr="008E2B3B">
        <w:rPr>
          <w:rFonts w:eastAsia="宋体"/>
          <w:kern w:val="0"/>
          <w:szCs w:val="20"/>
        </w:rPr>
        <w:t>.</w:t>
      </w:r>
    </w:p>
    <w:p w14:paraId="5BCAA1A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62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巴恩斯，</w:t>
      </w:r>
      <w:r w:rsidRPr="008E2B3B">
        <w:rPr>
          <w:rFonts w:eastAsia="宋体"/>
          <w:kern w:val="0"/>
          <w:szCs w:val="20"/>
        </w:rPr>
        <w:t>D.G.</w:t>
      </w:r>
      <w:r w:rsidRPr="008E2B3B">
        <w:rPr>
          <w:rFonts w:eastAsia="宋体"/>
          <w:kern w:val="0"/>
          <w:szCs w:val="20"/>
        </w:rPr>
        <w:t>和杜尔森，</w:t>
      </w:r>
      <w:r w:rsidRPr="008E2B3B">
        <w:rPr>
          <w:rFonts w:eastAsia="宋体"/>
          <w:kern w:val="0"/>
          <w:szCs w:val="20"/>
        </w:rPr>
        <w:t>M.</w:t>
      </w:r>
      <w:r w:rsidRPr="008E2B3B">
        <w:rPr>
          <w:rFonts w:eastAsia="宋体"/>
          <w:kern w:val="0"/>
          <w:szCs w:val="20"/>
        </w:rPr>
        <w:t>，</w:t>
      </w:r>
      <w:r w:rsidRPr="008E2B3B">
        <w:rPr>
          <w:rFonts w:eastAsia="宋体"/>
          <w:kern w:val="0"/>
          <w:szCs w:val="20"/>
        </w:rPr>
        <w:t>"</w:t>
      </w:r>
      <w:r w:rsidRPr="008E2B3B">
        <w:rPr>
          <w:rFonts w:eastAsia="宋体"/>
          <w:kern w:val="0"/>
          <w:szCs w:val="20"/>
        </w:rPr>
        <w:t>参考剂量（</w:t>
      </w:r>
      <w:proofErr w:type="spellStart"/>
      <w:r w:rsidRPr="008E2B3B">
        <w:rPr>
          <w:rFonts w:eastAsia="宋体"/>
          <w:kern w:val="0"/>
          <w:szCs w:val="20"/>
        </w:rPr>
        <w:t>RfD</w:t>
      </w:r>
      <w:proofErr w:type="spellEnd"/>
      <w:r w:rsidRPr="008E2B3B">
        <w:rPr>
          <w:rFonts w:eastAsia="宋体"/>
          <w:kern w:val="0"/>
          <w:szCs w:val="20"/>
        </w:rPr>
        <w:t>）：健康风险评估的描述和使用</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药剂，第</w:t>
      </w:r>
      <w:r w:rsidRPr="008E2B3B">
        <w:rPr>
          <w:rFonts w:eastAsia="宋体"/>
          <w:kern w:val="0"/>
          <w:szCs w:val="20"/>
        </w:rPr>
        <w:t>8</w:t>
      </w:r>
      <w:r w:rsidRPr="008E2B3B">
        <w:rPr>
          <w:rFonts w:eastAsia="宋体"/>
          <w:kern w:val="0"/>
          <w:szCs w:val="20"/>
        </w:rPr>
        <w:t>卷，第</w:t>
      </w:r>
      <w:r w:rsidRPr="008E2B3B">
        <w:rPr>
          <w:rFonts w:eastAsia="宋体"/>
          <w:kern w:val="0"/>
          <w:szCs w:val="20"/>
        </w:rPr>
        <w:t>4</w:t>
      </w:r>
      <w:r w:rsidRPr="008E2B3B">
        <w:rPr>
          <w:rFonts w:eastAsia="宋体"/>
          <w:kern w:val="0"/>
          <w:szCs w:val="20"/>
        </w:rPr>
        <w:t>号，</w:t>
      </w:r>
      <w:r w:rsidRPr="008E2B3B">
        <w:rPr>
          <w:rFonts w:eastAsia="宋体"/>
          <w:kern w:val="0"/>
          <w:szCs w:val="20"/>
        </w:rPr>
        <w:t>1988</w:t>
      </w:r>
      <w:r w:rsidRPr="008E2B3B">
        <w:rPr>
          <w:rFonts w:eastAsia="宋体"/>
          <w:kern w:val="0"/>
          <w:szCs w:val="20"/>
        </w:rPr>
        <w:t>年，第</w:t>
      </w:r>
      <w:r w:rsidRPr="008E2B3B">
        <w:rPr>
          <w:rFonts w:eastAsia="宋体"/>
          <w:kern w:val="0"/>
          <w:szCs w:val="20"/>
        </w:rPr>
        <w:t>471-486</w:t>
      </w:r>
      <w:r w:rsidRPr="008E2B3B">
        <w:rPr>
          <w:rFonts w:eastAsia="宋体"/>
          <w:kern w:val="0"/>
          <w:szCs w:val="20"/>
        </w:rPr>
        <w:t>页。</w:t>
      </w:r>
    </w:p>
    <w:p w14:paraId="07A7CCAD"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63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w:t>
      </w:r>
      <w:r w:rsidRPr="008E2B3B">
        <w:rPr>
          <w:rFonts w:eastAsia="宋体"/>
          <w:kern w:val="0"/>
          <w:szCs w:val="20"/>
        </w:rPr>
        <w:t>评估化学品的人类健康风险：制定基于健康的接触限度的指导价值</w:t>
      </w:r>
      <w:r w:rsidRPr="008E2B3B">
        <w:rPr>
          <w:rFonts w:eastAsia="宋体"/>
          <w:kern w:val="0"/>
          <w:szCs w:val="20"/>
        </w:rPr>
        <w:t>"</w:t>
      </w:r>
      <w:r w:rsidRPr="008E2B3B">
        <w:rPr>
          <w:rFonts w:eastAsia="宋体"/>
          <w:kern w:val="0"/>
          <w:szCs w:val="20"/>
        </w:rPr>
        <w:t>，《环境卫生标准》第</w:t>
      </w:r>
      <w:r w:rsidRPr="008E2B3B">
        <w:rPr>
          <w:rFonts w:eastAsia="宋体"/>
          <w:kern w:val="0"/>
          <w:szCs w:val="20"/>
        </w:rPr>
        <w:t>170</w:t>
      </w:r>
      <w:r w:rsidRPr="008E2B3B">
        <w:rPr>
          <w:rFonts w:eastAsia="宋体"/>
          <w:kern w:val="0"/>
          <w:szCs w:val="20"/>
        </w:rPr>
        <w:t>卷，世界卫生组织化学品安全国际方案，瑞士日内瓦。</w:t>
      </w:r>
    </w:p>
    <w:p w14:paraId="4B63AFE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64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物种间差异和人类变异的化学特定调整因素：剂量</w:t>
      </w:r>
      <w:r w:rsidRPr="008E2B3B">
        <w:rPr>
          <w:rFonts w:eastAsia="宋体"/>
          <w:kern w:val="0"/>
          <w:szCs w:val="20"/>
        </w:rPr>
        <w:t>/</w:t>
      </w:r>
      <w:r w:rsidRPr="008E2B3B">
        <w:rPr>
          <w:rFonts w:eastAsia="宋体"/>
          <w:kern w:val="0"/>
          <w:szCs w:val="20"/>
        </w:rPr>
        <w:t>浓度反应评估数据使用指导文件、国际化学品安全方案、世界卫生组织、国际劳工组织和联合国环境规划所，日内瓦，</w:t>
      </w:r>
      <w:r w:rsidRPr="008E2B3B">
        <w:rPr>
          <w:rFonts w:eastAsia="宋体"/>
          <w:kern w:val="0"/>
          <w:szCs w:val="20"/>
        </w:rPr>
        <w:t>2005</w:t>
      </w:r>
      <w:r w:rsidRPr="008E2B3B">
        <w:rPr>
          <w:rFonts w:eastAsia="宋体"/>
          <w:kern w:val="0"/>
          <w:szCs w:val="20"/>
        </w:rPr>
        <w:t>年。</w:t>
      </w:r>
    </w:p>
    <w:p w14:paraId="4A5F634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65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Naumann</w:t>
      </w:r>
      <w:r w:rsidRPr="008E2B3B">
        <w:rPr>
          <w:rFonts w:eastAsia="宋体"/>
          <w:kern w:val="0"/>
          <w:szCs w:val="20"/>
        </w:rPr>
        <w:t>，</w:t>
      </w:r>
      <w:r w:rsidRPr="008E2B3B">
        <w:rPr>
          <w:rFonts w:eastAsia="宋体"/>
          <w:kern w:val="0"/>
          <w:szCs w:val="20"/>
        </w:rPr>
        <w:t xml:space="preserve"> B. D. </w:t>
      </w:r>
      <w:r w:rsidRPr="008E2B3B">
        <w:rPr>
          <w:rFonts w:eastAsia="宋体"/>
          <w:kern w:val="0"/>
          <w:szCs w:val="20"/>
        </w:rPr>
        <w:t>等人，</w:t>
      </w:r>
      <w:r w:rsidRPr="008E2B3B">
        <w:rPr>
          <w:rFonts w:eastAsia="宋体"/>
          <w:kern w:val="0"/>
          <w:szCs w:val="20"/>
        </w:rPr>
        <w:t>"</w:t>
      </w:r>
      <w:r w:rsidRPr="008E2B3B">
        <w:rPr>
          <w:rFonts w:eastAsia="宋体"/>
          <w:kern w:val="0"/>
          <w:szCs w:val="20"/>
        </w:rPr>
        <w:t>调查使用生物利用数据调整活性药物成分的职业暴露限值</w:t>
      </w:r>
      <w:r w:rsidRPr="008E2B3B">
        <w:rPr>
          <w:rFonts w:eastAsia="宋体"/>
          <w:kern w:val="0"/>
          <w:szCs w:val="20"/>
        </w:rPr>
        <w:t>"</w:t>
      </w:r>
      <w:r w:rsidRPr="008E2B3B">
        <w:rPr>
          <w:rFonts w:eastAsia="宋体"/>
          <w:kern w:val="0"/>
          <w:szCs w:val="20"/>
        </w:rPr>
        <w:t>，毒石科学，第</w:t>
      </w:r>
      <w:r w:rsidRPr="008E2B3B">
        <w:rPr>
          <w:rFonts w:eastAsia="宋体"/>
          <w:kern w:val="0"/>
          <w:szCs w:val="20"/>
        </w:rPr>
        <w:t>112</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2009</w:t>
      </w:r>
      <w:r w:rsidRPr="008E2B3B">
        <w:rPr>
          <w:rFonts w:eastAsia="宋体"/>
          <w:kern w:val="0"/>
          <w:szCs w:val="20"/>
        </w:rPr>
        <w:t>年，第</w:t>
      </w:r>
      <w:r w:rsidRPr="008E2B3B">
        <w:rPr>
          <w:rFonts w:eastAsia="宋体"/>
          <w:kern w:val="0"/>
          <w:szCs w:val="20"/>
        </w:rPr>
        <w:t>196-210</w:t>
      </w:r>
      <w:r w:rsidRPr="008E2B3B">
        <w:rPr>
          <w:rFonts w:eastAsia="宋体"/>
          <w:kern w:val="0"/>
          <w:szCs w:val="20"/>
        </w:rPr>
        <w:t>页。</w:t>
      </w:r>
    </w:p>
    <w:p w14:paraId="48710731"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66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Lobo</w:t>
      </w:r>
      <w:r w:rsidRPr="008E2B3B">
        <w:rPr>
          <w:rFonts w:eastAsia="宋体"/>
          <w:kern w:val="0"/>
          <w:szCs w:val="20"/>
        </w:rPr>
        <w:t>，</w:t>
      </w:r>
      <w:r w:rsidRPr="008E2B3B">
        <w:rPr>
          <w:rFonts w:eastAsia="宋体"/>
          <w:kern w:val="0"/>
          <w:szCs w:val="20"/>
        </w:rPr>
        <w:t xml:space="preserve"> E. D.</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汉森，</w:t>
      </w:r>
      <w:r w:rsidRPr="008E2B3B">
        <w:rPr>
          <w:rFonts w:eastAsia="宋体"/>
          <w:kern w:val="0"/>
          <w:szCs w:val="20"/>
        </w:rPr>
        <w:t xml:space="preserve"> R. J. </w:t>
      </w:r>
      <w:r w:rsidRPr="008E2B3B">
        <w:rPr>
          <w:rFonts w:eastAsia="宋体"/>
          <w:kern w:val="0"/>
          <w:szCs w:val="20"/>
        </w:rPr>
        <w:t>和巴尔塔萨尔，</w:t>
      </w:r>
      <w:r w:rsidRPr="008E2B3B">
        <w:rPr>
          <w:rFonts w:eastAsia="宋体"/>
          <w:kern w:val="0"/>
          <w:szCs w:val="20"/>
        </w:rPr>
        <w:t xml:space="preserve"> J. P.</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抗体药代动力学和药原学</w:t>
      </w:r>
      <w:r w:rsidRPr="008E2B3B">
        <w:rPr>
          <w:rFonts w:eastAsia="宋体"/>
          <w:kern w:val="0"/>
          <w:szCs w:val="20"/>
        </w:rPr>
        <w:t>"</w:t>
      </w:r>
      <w:r w:rsidRPr="008E2B3B">
        <w:rPr>
          <w:rFonts w:eastAsia="宋体"/>
          <w:kern w:val="0"/>
          <w:szCs w:val="20"/>
        </w:rPr>
        <w:t>，</w:t>
      </w:r>
      <w:r w:rsidRPr="008E2B3B">
        <w:rPr>
          <w:rFonts w:eastAsia="宋体"/>
          <w:kern w:val="0"/>
          <w:szCs w:val="20"/>
        </w:rPr>
        <w:t xml:space="preserve"> J Pharm Sci</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93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11 </w:t>
      </w:r>
      <w:r w:rsidRPr="008E2B3B">
        <w:rPr>
          <w:rFonts w:eastAsia="宋体"/>
          <w:kern w:val="0"/>
          <w:szCs w:val="20"/>
        </w:rPr>
        <w:t>号，</w:t>
      </w:r>
      <w:r w:rsidRPr="008E2B3B">
        <w:rPr>
          <w:rFonts w:eastAsia="宋体"/>
          <w:kern w:val="0"/>
          <w:szCs w:val="20"/>
        </w:rPr>
        <w:t xml:space="preserve"> 2004</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2645-2668 </w:t>
      </w:r>
      <w:r w:rsidRPr="008E2B3B">
        <w:rPr>
          <w:rFonts w:eastAsia="宋体"/>
          <w:kern w:val="0"/>
          <w:szCs w:val="20"/>
        </w:rPr>
        <w:t>页。</w:t>
      </w:r>
    </w:p>
    <w:p w14:paraId="332DBF90"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67</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Bos</w:t>
      </w:r>
      <w:r w:rsidRPr="008E2B3B">
        <w:rPr>
          <w:rFonts w:eastAsia="宋体"/>
          <w:kern w:val="0"/>
          <w:szCs w:val="20"/>
        </w:rPr>
        <w:t>，</w:t>
      </w:r>
      <w:r w:rsidRPr="008E2B3B">
        <w:rPr>
          <w:rFonts w:eastAsia="宋体"/>
          <w:kern w:val="0"/>
          <w:szCs w:val="20"/>
        </w:rPr>
        <w:t xml:space="preserve"> J. D. </w:t>
      </w:r>
      <w:r w:rsidRPr="008E2B3B">
        <w:rPr>
          <w:rFonts w:eastAsia="宋体"/>
          <w:kern w:val="0"/>
          <w:szCs w:val="20"/>
        </w:rPr>
        <w:t>和</w:t>
      </w:r>
      <w:r w:rsidRPr="008E2B3B">
        <w:rPr>
          <w:rFonts w:eastAsia="宋体"/>
          <w:kern w:val="0"/>
          <w:szCs w:val="20"/>
        </w:rPr>
        <w:t xml:space="preserve"> </w:t>
      </w:r>
      <w:proofErr w:type="spellStart"/>
      <w:r w:rsidRPr="008E2B3B">
        <w:rPr>
          <w:rFonts w:eastAsia="宋体"/>
          <w:kern w:val="0"/>
          <w:szCs w:val="20"/>
        </w:rPr>
        <w:t>Meinardi</w:t>
      </w:r>
      <w:proofErr w:type="spellEnd"/>
      <w:r w:rsidRPr="008E2B3B">
        <w:rPr>
          <w:rFonts w:eastAsia="宋体"/>
          <w:kern w:val="0"/>
          <w:szCs w:val="20"/>
        </w:rPr>
        <w:t>，</w:t>
      </w:r>
      <w:r w:rsidRPr="008E2B3B">
        <w:rPr>
          <w:rFonts w:eastAsia="宋体"/>
          <w:kern w:val="0"/>
          <w:szCs w:val="20"/>
        </w:rPr>
        <w:t xml:space="preserve"> M.M.</w:t>
      </w:r>
      <w:r w:rsidRPr="008E2B3B">
        <w:rPr>
          <w:rFonts w:eastAsia="宋体"/>
          <w:kern w:val="0"/>
          <w:szCs w:val="20"/>
        </w:rPr>
        <w:t>，</w:t>
      </w:r>
      <w:r w:rsidRPr="008E2B3B">
        <w:rPr>
          <w:rFonts w:eastAsia="宋体"/>
          <w:kern w:val="0"/>
          <w:szCs w:val="20"/>
        </w:rPr>
        <w:t xml:space="preserve"> "500 Dalton </w:t>
      </w:r>
      <w:r w:rsidRPr="008E2B3B">
        <w:rPr>
          <w:rFonts w:eastAsia="宋体"/>
          <w:kern w:val="0"/>
          <w:szCs w:val="20"/>
        </w:rPr>
        <w:t>规则，化合物和药物的皮肤渗透</w:t>
      </w:r>
      <w:r w:rsidRPr="008E2B3B">
        <w:rPr>
          <w:rFonts w:eastAsia="宋体"/>
          <w:kern w:val="0"/>
          <w:szCs w:val="20"/>
        </w:rPr>
        <w:t>"</w:t>
      </w:r>
      <w:r w:rsidRPr="008E2B3B">
        <w:rPr>
          <w:rFonts w:eastAsia="宋体"/>
          <w:kern w:val="0"/>
          <w:szCs w:val="20"/>
        </w:rPr>
        <w:t>，</w:t>
      </w:r>
      <w:r w:rsidRPr="008E2B3B">
        <w:rPr>
          <w:rFonts w:eastAsia="宋体"/>
          <w:kern w:val="0"/>
          <w:szCs w:val="20"/>
        </w:rPr>
        <w:t xml:space="preserve"> Exp Dermatol</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9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3 </w:t>
      </w:r>
      <w:r w:rsidRPr="008E2B3B">
        <w:rPr>
          <w:rFonts w:eastAsia="宋体"/>
          <w:kern w:val="0"/>
          <w:szCs w:val="20"/>
        </w:rPr>
        <w:t>卷，</w:t>
      </w:r>
      <w:r w:rsidRPr="008E2B3B">
        <w:rPr>
          <w:rFonts w:eastAsia="宋体"/>
          <w:kern w:val="0"/>
          <w:szCs w:val="20"/>
        </w:rPr>
        <w:t xml:space="preserve"> 2000 </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165-169 </w:t>
      </w:r>
      <w:r w:rsidRPr="008E2B3B">
        <w:rPr>
          <w:rFonts w:eastAsia="宋体"/>
          <w:kern w:val="0"/>
          <w:szCs w:val="20"/>
        </w:rPr>
        <w:t>页。</w:t>
      </w:r>
    </w:p>
    <w:p w14:paraId="7D1ACC34"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68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史密斯</w:t>
      </w:r>
      <w:r w:rsidRPr="008E2B3B">
        <w:rPr>
          <w:rFonts w:eastAsia="宋体"/>
          <w:kern w:val="0"/>
          <w:szCs w:val="20"/>
        </w:rPr>
        <w:t>·</w:t>
      </w:r>
      <w:r w:rsidRPr="008E2B3B">
        <w:rPr>
          <w:rFonts w:eastAsia="宋体"/>
          <w:kern w:val="0"/>
          <w:szCs w:val="20"/>
        </w:rPr>
        <w:t>皮斯，</w:t>
      </w:r>
      <w:r w:rsidRPr="008E2B3B">
        <w:rPr>
          <w:rFonts w:eastAsia="宋体"/>
          <w:kern w:val="0"/>
          <w:szCs w:val="20"/>
        </w:rPr>
        <w:t xml:space="preserve"> C. K.</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怀特，</w:t>
      </w:r>
      <w:r w:rsidRPr="008E2B3B">
        <w:rPr>
          <w:rFonts w:eastAsia="宋体"/>
          <w:kern w:val="0"/>
          <w:szCs w:val="20"/>
        </w:rPr>
        <w:t xml:space="preserve"> I. R. </w:t>
      </w:r>
      <w:r w:rsidRPr="008E2B3B">
        <w:rPr>
          <w:rFonts w:eastAsia="宋体"/>
          <w:kern w:val="0"/>
          <w:szCs w:val="20"/>
        </w:rPr>
        <w:t>和篮子，</w:t>
      </w:r>
      <w:r w:rsidRPr="008E2B3B">
        <w:rPr>
          <w:rFonts w:eastAsia="宋体"/>
          <w:kern w:val="0"/>
          <w:szCs w:val="20"/>
        </w:rPr>
        <w:t xml:space="preserve"> D. A.</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皮肤作为接触蛋白质过敏原的路线</w:t>
      </w:r>
      <w:r w:rsidRPr="008E2B3B">
        <w:rPr>
          <w:rFonts w:eastAsia="宋体"/>
          <w:kern w:val="0"/>
          <w:szCs w:val="20"/>
        </w:rPr>
        <w:t>"</w:t>
      </w:r>
      <w:r w:rsidRPr="008E2B3B">
        <w:rPr>
          <w:rFonts w:eastAsia="宋体"/>
          <w:kern w:val="0"/>
          <w:szCs w:val="20"/>
        </w:rPr>
        <w:t>，</w:t>
      </w:r>
      <w:r w:rsidRPr="008E2B3B">
        <w:rPr>
          <w:rFonts w:eastAsia="宋体"/>
          <w:kern w:val="0"/>
          <w:szCs w:val="20"/>
        </w:rPr>
        <w:t xml:space="preserve"> </w:t>
      </w:r>
      <w:r w:rsidRPr="008E2B3B">
        <w:rPr>
          <w:rFonts w:eastAsia="宋体"/>
          <w:kern w:val="0"/>
          <w:szCs w:val="20"/>
        </w:rPr>
        <w:lastRenderedPageBreak/>
        <w:t>临床和实验皮肤科，</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27</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4 </w:t>
      </w:r>
      <w:r w:rsidRPr="008E2B3B">
        <w:rPr>
          <w:rFonts w:eastAsia="宋体"/>
          <w:kern w:val="0"/>
          <w:szCs w:val="20"/>
        </w:rPr>
        <w:t>号，</w:t>
      </w:r>
      <w:r w:rsidRPr="008E2B3B">
        <w:rPr>
          <w:rFonts w:eastAsia="宋体"/>
          <w:kern w:val="0"/>
          <w:szCs w:val="20"/>
        </w:rPr>
        <w:t xml:space="preserve"> 2002 </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296 -300 </w:t>
      </w:r>
      <w:r w:rsidRPr="008E2B3B">
        <w:rPr>
          <w:rFonts w:eastAsia="宋体"/>
          <w:kern w:val="0"/>
          <w:szCs w:val="20"/>
        </w:rPr>
        <w:t>页</w:t>
      </w:r>
      <w:r w:rsidRPr="008E2B3B">
        <w:rPr>
          <w:rFonts w:eastAsia="宋体"/>
          <w:kern w:val="0"/>
          <w:szCs w:val="20"/>
        </w:rPr>
        <w:t>.</w:t>
      </w:r>
    </w:p>
    <w:p w14:paraId="0818DF61"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69</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信息要求和化学品安全评估指南，第</w:t>
      </w:r>
      <w:r w:rsidRPr="008E2B3B">
        <w:rPr>
          <w:rFonts w:eastAsia="宋体"/>
          <w:kern w:val="0"/>
          <w:szCs w:val="20"/>
        </w:rPr>
        <w:t>R.8</w:t>
      </w:r>
      <w:r w:rsidRPr="008E2B3B">
        <w:rPr>
          <w:rFonts w:eastAsia="宋体"/>
          <w:kern w:val="0"/>
          <w:szCs w:val="20"/>
        </w:rPr>
        <w:t>章：剂量</w:t>
      </w:r>
      <w:r w:rsidRPr="008E2B3B">
        <w:rPr>
          <w:rFonts w:eastAsia="宋体"/>
          <w:kern w:val="0"/>
          <w:szCs w:val="20"/>
        </w:rPr>
        <w:t>[</w:t>
      </w:r>
      <w:r w:rsidRPr="008E2B3B">
        <w:rPr>
          <w:rFonts w:eastAsia="宋体"/>
          <w:kern w:val="0"/>
          <w:szCs w:val="20"/>
        </w:rPr>
        <w:t>浓度</w:t>
      </w:r>
      <w:r w:rsidRPr="008E2B3B">
        <w:rPr>
          <w:rFonts w:eastAsia="宋体"/>
          <w:kern w:val="0"/>
          <w:szCs w:val="20"/>
        </w:rPr>
        <w:t>]</w:t>
      </w:r>
      <w:r w:rsidRPr="008E2B3B">
        <w:rPr>
          <w:rFonts w:eastAsia="宋体"/>
          <w:kern w:val="0"/>
          <w:szCs w:val="20"/>
        </w:rPr>
        <w:t>对人类健康反应的特征（第</w:t>
      </w:r>
      <w:r w:rsidRPr="008E2B3B">
        <w:rPr>
          <w:rFonts w:eastAsia="宋体"/>
          <w:kern w:val="0"/>
          <w:szCs w:val="20"/>
        </w:rPr>
        <w:t>2.1</w:t>
      </w:r>
      <w:r w:rsidRPr="008E2B3B">
        <w:rPr>
          <w:rFonts w:eastAsia="宋体"/>
          <w:kern w:val="0"/>
          <w:szCs w:val="20"/>
        </w:rPr>
        <w:t>版），欧洲化学品署，芬兰赫尔辛基，</w:t>
      </w:r>
      <w:r w:rsidRPr="008E2B3B">
        <w:rPr>
          <w:rFonts w:eastAsia="宋体"/>
          <w:kern w:val="0"/>
          <w:szCs w:val="20"/>
        </w:rPr>
        <w:t>2012</w:t>
      </w:r>
      <w:r w:rsidRPr="008E2B3B">
        <w:rPr>
          <w:rFonts w:eastAsia="宋体"/>
          <w:kern w:val="0"/>
          <w:szCs w:val="20"/>
        </w:rPr>
        <w:t>年，第</w:t>
      </w:r>
      <w:r w:rsidRPr="008E2B3B">
        <w:rPr>
          <w:rFonts w:eastAsia="宋体"/>
          <w:kern w:val="0"/>
          <w:szCs w:val="20"/>
        </w:rPr>
        <w:t>195</w:t>
      </w:r>
      <w:r w:rsidRPr="008E2B3B">
        <w:rPr>
          <w:rFonts w:eastAsia="宋体"/>
          <w:kern w:val="0"/>
          <w:szCs w:val="20"/>
        </w:rPr>
        <w:t>章。</w:t>
      </w:r>
    </w:p>
    <w:p w14:paraId="3D3E42B6"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70</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建议使用体重</w:t>
      </w:r>
      <w:r w:rsidRPr="008E2B3B">
        <w:rPr>
          <w:rFonts w:eastAsia="宋体"/>
          <w:kern w:val="0"/>
          <w:szCs w:val="20"/>
        </w:rPr>
        <w:t>3/4</w:t>
      </w:r>
      <w:r w:rsidRPr="008E2B3B">
        <w:rPr>
          <w:rFonts w:eastAsia="宋体"/>
          <w:kern w:val="0"/>
          <w:szCs w:val="20"/>
        </w:rPr>
        <w:t>作为口服参考剂量的衍生默认方法，科学顾问办公室，风险评估论坛，美国环境保护局，华盛顿特区，</w:t>
      </w:r>
      <w:r w:rsidRPr="008E2B3B">
        <w:rPr>
          <w:rFonts w:eastAsia="宋体"/>
          <w:kern w:val="0"/>
          <w:szCs w:val="20"/>
        </w:rPr>
        <w:t>2011</w:t>
      </w:r>
      <w:r w:rsidRPr="008E2B3B">
        <w:rPr>
          <w:rFonts w:eastAsia="宋体"/>
          <w:kern w:val="0"/>
          <w:szCs w:val="20"/>
        </w:rPr>
        <w:t>年。</w:t>
      </w:r>
    </w:p>
    <w:p w14:paraId="18921BF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71</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Edginton</w:t>
      </w:r>
      <w:proofErr w:type="spellEnd"/>
      <w:r w:rsidRPr="008E2B3B">
        <w:rPr>
          <w:rFonts w:eastAsia="宋体"/>
          <w:kern w:val="0"/>
          <w:szCs w:val="20"/>
        </w:rPr>
        <w:t>，</w:t>
      </w:r>
      <w:r w:rsidRPr="008E2B3B">
        <w:rPr>
          <w:rFonts w:eastAsia="宋体"/>
          <w:kern w:val="0"/>
          <w:szCs w:val="20"/>
        </w:rPr>
        <w:t xml:space="preserve"> A. N.</w:t>
      </w:r>
      <w:r w:rsidRPr="008E2B3B">
        <w:rPr>
          <w:rFonts w:eastAsia="宋体"/>
          <w:kern w:val="0"/>
          <w:szCs w:val="20"/>
        </w:rPr>
        <w:t>等人，</w:t>
      </w:r>
      <w:r w:rsidRPr="008E2B3B">
        <w:rPr>
          <w:rFonts w:eastAsia="宋体"/>
          <w:kern w:val="0"/>
          <w:szCs w:val="20"/>
        </w:rPr>
        <w:t>"</w:t>
      </w:r>
      <w:proofErr w:type="gramStart"/>
      <w:r w:rsidRPr="008E2B3B">
        <w:rPr>
          <w:rFonts w:eastAsia="宋体"/>
          <w:kern w:val="0"/>
          <w:szCs w:val="20"/>
        </w:rPr>
        <w:t>整合全米</w:t>
      </w:r>
      <w:proofErr w:type="gramEnd"/>
      <w:r w:rsidRPr="008E2B3B">
        <w:rPr>
          <w:rFonts w:eastAsia="宋体"/>
          <w:kern w:val="0"/>
          <w:szCs w:val="20"/>
        </w:rPr>
        <w:t>和虚拟人群，预测</w:t>
      </w:r>
      <w:r w:rsidRPr="008E2B3B">
        <w:rPr>
          <w:rFonts w:eastAsia="宋体"/>
          <w:kern w:val="0"/>
          <w:szCs w:val="20"/>
        </w:rPr>
        <w:t>6</w:t>
      </w:r>
      <w:r w:rsidRPr="008E2B3B">
        <w:rPr>
          <w:rFonts w:eastAsia="宋体"/>
          <w:kern w:val="0"/>
          <w:szCs w:val="20"/>
        </w:rPr>
        <w:t>岁以下儿童人群的清除和清除变异性</w:t>
      </w:r>
      <w:r w:rsidRPr="008E2B3B">
        <w:rPr>
          <w:rFonts w:eastAsia="宋体"/>
          <w:kern w:val="0"/>
          <w:szCs w:val="20"/>
        </w:rPr>
        <w:t>"</w:t>
      </w:r>
      <w:r w:rsidRPr="008E2B3B">
        <w:rPr>
          <w:rFonts w:eastAsia="宋体"/>
          <w:kern w:val="0"/>
          <w:szCs w:val="20"/>
        </w:rPr>
        <w:t>，</w:t>
      </w:r>
      <w:r w:rsidRPr="008E2B3B">
        <w:rPr>
          <w:rFonts w:eastAsia="宋体"/>
          <w:kern w:val="0"/>
          <w:szCs w:val="20"/>
        </w:rPr>
        <w:t>Clin</w:t>
      </w:r>
      <w:r w:rsidRPr="008E2B3B">
        <w:rPr>
          <w:rFonts w:eastAsia="宋体"/>
          <w:kern w:val="0"/>
          <w:szCs w:val="20"/>
        </w:rPr>
        <w:t>药典，第</w:t>
      </w:r>
      <w:r w:rsidRPr="008E2B3B">
        <w:rPr>
          <w:rFonts w:eastAsia="宋体"/>
          <w:kern w:val="0"/>
          <w:szCs w:val="20"/>
        </w:rPr>
        <w:t>52</w:t>
      </w:r>
      <w:r w:rsidRPr="008E2B3B">
        <w:rPr>
          <w:rFonts w:eastAsia="宋体"/>
          <w:kern w:val="0"/>
          <w:szCs w:val="20"/>
        </w:rPr>
        <w:t>卷，第</w:t>
      </w:r>
      <w:r w:rsidRPr="008E2B3B">
        <w:rPr>
          <w:rFonts w:eastAsia="宋体"/>
          <w:kern w:val="0"/>
          <w:szCs w:val="20"/>
        </w:rPr>
        <w:t>8</w:t>
      </w:r>
      <w:r w:rsidRPr="008E2B3B">
        <w:rPr>
          <w:rFonts w:eastAsia="宋体"/>
          <w:kern w:val="0"/>
          <w:szCs w:val="20"/>
        </w:rPr>
        <w:t>号，</w:t>
      </w:r>
      <w:r w:rsidRPr="008E2B3B">
        <w:rPr>
          <w:rFonts w:eastAsia="宋体"/>
          <w:kern w:val="0"/>
          <w:szCs w:val="20"/>
        </w:rPr>
        <w:t>2013</w:t>
      </w:r>
      <w:r w:rsidRPr="008E2B3B">
        <w:rPr>
          <w:rFonts w:eastAsia="宋体"/>
          <w:kern w:val="0"/>
          <w:szCs w:val="20"/>
        </w:rPr>
        <w:t>年，第</w:t>
      </w:r>
      <w:r w:rsidRPr="008E2B3B">
        <w:rPr>
          <w:rFonts w:eastAsia="宋体"/>
          <w:kern w:val="0"/>
          <w:szCs w:val="20"/>
        </w:rPr>
        <w:t>693-703</w:t>
      </w:r>
      <w:r w:rsidRPr="008E2B3B">
        <w:rPr>
          <w:rFonts w:eastAsia="宋体"/>
          <w:kern w:val="0"/>
          <w:szCs w:val="20"/>
        </w:rPr>
        <w:t>页。</w:t>
      </w:r>
    </w:p>
    <w:p w14:paraId="38483A2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72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马哈茂德，</w:t>
      </w:r>
      <w:r w:rsidRPr="008E2B3B">
        <w:rPr>
          <w:rFonts w:eastAsia="宋体"/>
          <w:kern w:val="0"/>
          <w:szCs w:val="20"/>
        </w:rPr>
        <w:t>I.</w:t>
      </w:r>
      <w:r w:rsidRPr="008E2B3B">
        <w:rPr>
          <w:rFonts w:eastAsia="宋体"/>
          <w:kern w:val="0"/>
          <w:szCs w:val="20"/>
        </w:rPr>
        <w:t>，</w:t>
      </w:r>
      <w:r w:rsidRPr="008E2B3B">
        <w:rPr>
          <w:rFonts w:eastAsia="宋体"/>
          <w:kern w:val="0"/>
          <w:szCs w:val="20"/>
        </w:rPr>
        <w:t>"</w:t>
      </w:r>
      <w:r w:rsidRPr="008E2B3B">
        <w:rPr>
          <w:rFonts w:eastAsia="宋体"/>
          <w:kern w:val="0"/>
          <w:szCs w:val="20"/>
        </w:rPr>
        <w:t>早产儿和成熟新生儿、婴儿和儿童的药物清除预测</w:t>
      </w:r>
      <w:r w:rsidRPr="008E2B3B">
        <w:rPr>
          <w:rFonts w:eastAsia="宋体"/>
          <w:kern w:val="0"/>
          <w:szCs w:val="20"/>
        </w:rPr>
        <w:t>&lt;/=2</w:t>
      </w:r>
      <w:r w:rsidRPr="008E2B3B">
        <w:rPr>
          <w:rFonts w:eastAsia="宋体"/>
          <w:kern w:val="0"/>
          <w:szCs w:val="20"/>
        </w:rPr>
        <w:t>岁：</w:t>
      </w:r>
      <w:proofErr w:type="gramStart"/>
      <w:r w:rsidRPr="008E2B3B">
        <w:rPr>
          <w:rFonts w:eastAsia="宋体"/>
          <w:kern w:val="0"/>
          <w:szCs w:val="20"/>
        </w:rPr>
        <w:t>4</w:t>
      </w:r>
      <w:r w:rsidRPr="008E2B3B">
        <w:rPr>
          <w:rFonts w:eastAsia="宋体"/>
          <w:kern w:val="0"/>
          <w:szCs w:val="20"/>
        </w:rPr>
        <w:t>个全测模型</w:t>
      </w:r>
      <w:proofErr w:type="gramEnd"/>
      <w:r w:rsidRPr="008E2B3B">
        <w:rPr>
          <w:rFonts w:eastAsia="宋体"/>
          <w:kern w:val="0"/>
          <w:szCs w:val="20"/>
        </w:rPr>
        <w:t>的预测性能比较</w:t>
      </w:r>
      <w:r w:rsidRPr="008E2B3B">
        <w:rPr>
          <w:rFonts w:eastAsia="宋体"/>
          <w:kern w:val="0"/>
          <w:szCs w:val="20"/>
        </w:rPr>
        <w:t>"</w:t>
      </w:r>
      <w:r w:rsidRPr="008E2B3B">
        <w:rPr>
          <w:rFonts w:eastAsia="宋体"/>
          <w:kern w:val="0"/>
          <w:szCs w:val="20"/>
        </w:rPr>
        <w:t>，</w:t>
      </w:r>
      <w:r w:rsidRPr="008E2B3B">
        <w:rPr>
          <w:rFonts w:eastAsia="宋体"/>
          <w:kern w:val="0"/>
          <w:szCs w:val="20"/>
        </w:rPr>
        <w:t>J Clin</w:t>
      </w:r>
      <w:r w:rsidRPr="008E2B3B">
        <w:rPr>
          <w:rFonts w:eastAsia="宋体"/>
          <w:kern w:val="0"/>
          <w:szCs w:val="20"/>
        </w:rPr>
        <w:t>制药公司，第</w:t>
      </w:r>
      <w:r w:rsidRPr="008E2B3B">
        <w:rPr>
          <w:rFonts w:eastAsia="宋体"/>
          <w:kern w:val="0"/>
          <w:szCs w:val="20"/>
        </w:rPr>
        <w:t>56</w:t>
      </w:r>
      <w:r w:rsidRPr="008E2B3B">
        <w:rPr>
          <w:rFonts w:eastAsia="宋体"/>
          <w:kern w:val="0"/>
          <w:szCs w:val="20"/>
        </w:rPr>
        <w:t>卷，第</w:t>
      </w:r>
      <w:r w:rsidRPr="008E2B3B">
        <w:rPr>
          <w:rFonts w:eastAsia="宋体"/>
          <w:kern w:val="0"/>
          <w:szCs w:val="20"/>
        </w:rPr>
        <w:t>6</w:t>
      </w:r>
      <w:r w:rsidRPr="008E2B3B">
        <w:rPr>
          <w:rFonts w:eastAsia="宋体"/>
          <w:kern w:val="0"/>
          <w:szCs w:val="20"/>
        </w:rPr>
        <w:t>卷，</w:t>
      </w:r>
      <w:r w:rsidRPr="008E2B3B">
        <w:rPr>
          <w:rFonts w:eastAsia="宋体"/>
          <w:kern w:val="0"/>
          <w:szCs w:val="20"/>
        </w:rPr>
        <w:t>2016</w:t>
      </w:r>
      <w:r w:rsidRPr="008E2B3B">
        <w:rPr>
          <w:rFonts w:eastAsia="宋体"/>
          <w:kern w:val="0"/>
          <w:szCs w:val="20"/>
        </w:rPr>
        <w:t>年，第</w:t>
      </w:r>
      <w:r w:rsidRPr="008E2B3B">
        <w:rPr>
          <w:rFonts w:eastAsia="宋体"/>
          <w:kern w:val="0"/>
          <w:szCs w:val="20"/>
        </w:rPr>
        <w:t>733-739</w:t>
      </w:r>
      <w:r w:rsidRPr="008E2B3B">
        <w:rPr>
          <w:rFonts w:eastAsia="宋体"/>
          <w:kern w:val="0"/>
          <w:szCs w:val="20"/>
        </w:rPr>
        <w:t>页。</w:t>
      </w:r>
    </w:p>
    <w:p w14:paraId="45ECFA49"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73</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Momper</w:t>
      </w:r>
      <w:proofErr w:type="spellEnd"/>
      <w:r w:rsidRPr="008E2B3B">
        <w:rPr>
          <w:rFonts w:eastAsia="宋体"/>
          <w:kern w:val="0"/>
          <w:szCs w:val="20"/>
        </w:rPr>
        <w:t>，</w:t>
      </w:r>
      <w:r w:rsidRPr="008E2B3B">
        <w:rPr>
          <w:rFonts w:eastAsia="宋体"/>
          <w:kern w:val="0"/>
          <w:szCs w:val="20"/>
        </w:rPr>
        <w:t xml:space="preserve"> J. D.</w:t>
      </w:r>
      <w:r w:rsidRPr="008E2B3B">
        <w:rPr>
          <w:rFonts w:eastAsia="宋体"/>
          <w:kern w:val="0"/>
          <w:szCs w:val="20"/>
        </w:rPr>
        <w:t>等人，</w:t>
      </w:r>
      <w:r w:rsidRPr="008E2B3B">
        <w:rPr>
          <w:rFonts w:eastAsia="宋体"/>
          <w:kern w:val="0"/>
          <w:szCs w:val="20"/>
        </w:rPr>
        <w:t>"</w:t>
      </w:r>
      <w:r w:rsidRPr="008E2B3B">
        <w:rPr>
          <w:rFonts w:eastAsia="宋体"/>
          <w:kern w:val="0"/>
          <w:szCs w:val="20"/>
        </w:rPr>
        <w:t>自</w:t>
      </w:r>
      <w:r w:rsidRPr="008E2B3B">
        <w:rPr>
          <w:rFonts w:eastAsia="宋体"/>
          <w:kern w:val="0"/>
          <w:szCs w:val="20"/>
        </w:rPr>
        <w:t>2007</w:t>
      </w:r>
      <w:r w:rsidRPr="008E2B3B">
        <w:rPr>
          <w:rFonts w:eastAsia="宋体"/>
          <w:kern w:val="0"/>
          <w:szCs w:val="20"/>
        </w:rPr>
        <w:t>年《食品和药物管理局修正法》以来的青少年给药和标签</w:t>
      </w:r>
      <w:r w:rsidRPr="008E2B3B">
        <w:rPr>
          <w:rFonts w:eastAsia="宋体"/>
          <w:kern w:val="0"/>
          <w:szCs w:val="20"/>
        </w:rPr>
        <w:t>"</w:t>
      </w:r>
      <w:r w:rsidRPr="008E2B3B">
        <w:rPr>
          <w:rFonts w:eastAsia="宋体"/>
          <w:kern w:val="0"/>
          <w:szCs w:val="20"/>
        </w:rPr>
        <w:t>，</w:t>
      </w:r>
      <w:r w:rsidRPr="008E2B3B">
        <w:rPr>
          <w:rFonts w:eastAsia="宋体"/>
          <w:kern w:val="0"/>
          <w:szCs w:val="20"/>
        </w:rPr>
        <w:t xml:space="preserve">JAMA </w:t>
      </w:r>
      <w:proofErr w:type="spellStart"/>
      <w:r w:rsidRPr="008E2B3B">
        <w:rPr>
          <w:rFonts w:eastAsia="宋体"/>
          <w:kern w:val="0"/>
          <w:szCs w:val="20"/>
        </w:rPr>
        <w:t>Pediatr</w:t>
      </w:r>
      <w:proofErr w:type="spellEnd"/>
      <w:r w:rsidRPr="008E2B3B">
        <w:rPr>
          <w:rFonts w:eastAsia="宋体"/>
          <w:kern w:val="0"/>
          <w:szCs w:val="20"/>
        </w:rPr>
        <w:t>，第</w:t>
      </w:r>
      <w:r w:rsidRPr="008E2B3B">
        <w:rPr>
          <w:rFonts w:eastAsia="宋体"/>
          <w:kern w:val="0"/>
          <w:szCs w:val="20"/>
        </w:rPr>
        <w:t>167</w:t>
      </w:r>
      <w:r w:rsidRPr="008E2B3B">
        <w:rPr>
          <w:rFonts w:eastAsia="宋体"/>
          <w:kern w:val="0"/>
          <w:szCs w:val="20"/>
        </w:rPr>
        <w:t>卷，第</w:t>
      </w:r>
      <w:r w:rsidRPr="008E2B3B">
        <w:rPr>
          <w:rFonts w:eastAsia="宋体"/>
          <w:kern w:val="0"/>
          <w:szCs w:val="20"/>
        </w:rPr>
        <w:t>10</w:t>
      </w:r>
      <w:r w:rsidRPr="008E2B3B">
        <w:rPr>
          <w:rFonts w:eastAsia="宋体"/>
          <w:kern w:val="0"/>
          <w:szCs w:val="20"/>
        </w:rPr>
        <w:t>号，</w:t>
      </w:r>
      <w:r w:rsidRPr="008E2B3B">
        <w:rPr>
          <w:rFonts w:eastAsia="宋体"/>
          <w:kern w:val="0"/>
          <w:szCs w:val="20"/>
        </w:rPr>
        <w:t>2013</w:t>
      </w:r>
      <w:r w:rsidRPr="008E2B3B">
        <w:rPr>
          <w:rFonts w:eastAsia="宋体"/>
          <w:kern w:val="0"/>
          <w:szCs w:val="20"/>
        </w:rPr>
        <w:t>年，第</w:t>
      </w:r>
      <w:r w:rsidRPr="008E2B3B">
        <w:rPr>
          <w:rFonts w:eastAsia="宋体"/>
          <w:kern w:val="0"/>
          <w:szCs w:val="20"/>
        </w:rPr>
        <w:t>926-932</w:t>
      </w:r>
      <w:r w:rsidRPr="008E2B3B">
        <w:rPr>
          <w:rFonts w:eastAsia="宋体"/>
          <w:kern w:val="0"/>
          <w:szCs w:val="20"/>
        </w:rPr>
        <w:t>页。</w:t>
      </w:r>
    </w:p>
    <w:p w14:paraId="2F4A9ADD"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74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Ling</w:t>
      </w:r>
      <w:r w:rsidRPr="008E2B3B">
        <w:rPr>
          <w:rFonts w:eastAsia="宋体"/>
          <w:kern w:val="0"/>
          <w:szCs w:val="20"/>
        </w:rPr>
        <w:t>，</w:t>
      </w:r>
      <w:r w:rsidRPr="008E2B3B">
        <w:rPr>
          <w:rFonts w:eastAsia="宋体"/>
          <w:kern w:val="0"/>
          <w:szCs w:val="20"/>
        </w:rPr>
        <w:t>J.</w:t>
      </w:r>
      <w:r w:rsidRPr="008E2B3B">
        <w:rPr>
          <w:rFonts w:eastAsia="宋体"/>
          <w:kern w:val="0"/>
          <w:szCs w:val="20"/>
        </w:rPr>
        <w:t>等人，</w:t>
      </w:r>
      <w:r w:rsidRPr="008E2B3B">
        <w:rPr>
          <w:rFonts w:eastAsia="宋体"/>
          <w:kern w:val="0"/>
          <w:szCs w:val="20"/>
        </w:rPr>
        <w:t>"</w:t>
      </w:r>
      <w:r w:rsidRPr="008E2B3B">
        <w:rPr>
          <w:rFonts w:eastAsia="宋体"/>
          <w:kern w:val="0"/>
          <w:szCs w:val="20"/>
        </w:rPr>
        <w:t>治疗性单克隆抗体的物种间结垢：初始外观</w:t>
      </w:r>
      <w:r w:rsidRPr="008E2B3B">
        <w:rPr>
          <w:rFonts w:eastAsia="宋体"/>
          <w:kern w:val="0"/>
          <w:szCs w:val="20"/>
        </w:rPr>
        <w:t>"</w:t>
      </w:r>
      <w:r w:rsidRPr="008E2B3B">
        <w:rPr>
          <w:rFonts w:eastAsia="宋体"/>
          <w:kern w:val="0"/>
          <w:szCs w:val="20"/>
        </w:rPr>
        <w:t>，</w:t>
      </w:r>
      <w:r w:rsidRPr="008E2B3B">
        <w:rPr>
          <w:rFonts w:eastAsia="宋体"/>
          <w:kern w:val="0"/>
          <w:szCs w:val="20"/>
        </w:rPr>
        <w:t>J Clin</w:t>
      </w:r>
      <w:r w:rsidRPr="008E2B3B">
        <w:rPr>
          <w:rFonts w:eastAsia="宋体"/>
          <w:kern w:val="0"/>
          <w:szCs w:val="20"/>
        </w:rPr>
        <w:t>制药公司，第</w:t>
      </w:r>
      <w:r w:rsidRPr="008E2B3B">
        <w:rPr>
          <w:rFonts w:eastAsia="宋体"/>
          <w:kern w:val="0"/>
          <w:szCs w:val="20"/>
        </w:rPr>
        <w:t>49</w:t>
      </w:r>
      <w:r w:rsidRPr="008E2B3B">
        <w:rPr>
          <w:rFonts w:eastAsia="宋体"/>
          <w:kern w:val="0"/>
          <w:szCs w:val="20"/>
        </w:rPr>
        <w:t>卷，第</w:t>
      </w:r>
      <w:r w:rsidRPr="008E2B3B">
        <w:rPr>
          <w:rFonts w:eastAsia="宋体"/>
          <w:kern w:val="0"/>
          <w:szCs w:val="20"/>
        </w:rPr>
        <w:t>12</w:t>
      </w:r>
      <w:r w:rsidRPr="008E2B3B">
        <w:rPr>
          <w:rFonts w:eastAsia="宋体"/>
          <w:kern w:val="0"/>
          <w:szCs w:val="20"/>
        </w:rPr>
        <w:t>号，</w:t>
      </w:r>
      <w:r w:rsidRPr="008E2B3B">
        <w:rPr>
          <w:rFonts w:eastAsia="宋体"/>
          <w:kern w:val="0"/>
          <w:szCs w:val="20"/>
        </w:rPr>
        <w:t>2009</w:t>
      </w:r>
      <w:r w:rsidRPr="008E2B3B">
        <w:rPr>
          <w:rFonts w:eastAsia="宋体"/>
          <w:kern w:val="0"/>
          <w:szCs w:val="20"/>
        </w:rPr>
        <w:t>年，第</w:t>
      </w:r>
      <w:r w:rsidRPr="008E2B3B">
        <w:rPr>
          <w:rFonts w:eastAsia="宋体"/>
          <w:kern w:val="0"/>
          <w:szCs w:val="20"/>
        </w:rPr>
        <w:t>1382-1402</w:t>
      </w:r>
      <w:r w:rsidRPr="008E2B3B">
        <w:rPr>
          <w:rFonts w:eastAsia="宋体"/>
          <w:kern w:val="0"/>
          <w:szCs w:val="20"/>
        </w:rPr>
        <w:t>页。</w:t>
      </w:r>
    </w:p>
    <w:p w14:paraId="5C23C9AE"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75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马哈茂德，</w:t>
      </w:r>
      <w:r w:rsidRPr="008E2B3B">
        <w:rPr>
          <w:rFonts w:eastAsia="宋体"/>
          <w:kern w:val="0"/>
          <w:szCs w:val="20"/>
        </w:rPr>
        <w:t>I.</w:t>
      </w:r>
      <w:r w:rsidRPr="008E2B3B">
        <w:rPr>
          <w:rFonts w:eastAsia="宋体"/>
          <w:kern w:val="0"/>
          <w:szCs w:val="20"/>
        </w:rPr>
        <w:t>，</w:t>
      </w:r>
      <w:r w:rsidRPr="008E2B3B">
        <w:rPr>
          <w:rFonts w:eastAsia="宋体"/>
          <w:kern w:val="0"/>
          <w:szCs w:val="20"/>
        </w:rPr>
        <w:t>"</w:t>
      </w:r>
      <w:r w:rsidRPr="008E2B3B">
        <w:rPr>
          <w:rFonts w:eastAsia="宋体"/>
          <w:kern w:val="0"/>
          <w:szCs w:val="20"/>
        </w:rPr>
        <w:t>蛋白质药物的物种间缩放：从动物到人类的清除预测</w:t>
      </w:r>
      <w:r w:rsidRPr="008E2B3B">
        <w:rPr>
          <w:rFonts w:eastAsia="宋体"/>
          <w:kern w:val="0"/>
          <w:szCs w:val="20"/>
        </w:rPr>
        <w:t>"</w:t>
      </w:r>
      <w:r w:rsidRPr="008E2B3B">
        <w:rPr>
          <w:rFonts w:eastAsia="宋体"/>
          <w:kern w:val="0"/>
          <w:szCs w:val="20"/>
        </w:rPr>
        <w:t>，</w:t>
      </w:r>
      <w:r w:rsidRPr="008E2B3B">
        <w:rPr>
          <w:rFonts w:eastAsia="宋体"/>
          <w:kern w:val="0"/>
          <w:szCs w:val="20"/>
        </w:rPr>
        <w:t>J Pharm Sci</w:t>
      </w:r>
      <w:r w:rsidRPr="008E2B3B">
        <w:rPr>
          <w:rFonts w:eastAsia="宋体"/>
          <w:kern w:val="0"/>
          <w:szCs w:val="20"/>
        </w:rPr>
        <w:t>，第</w:t>
      </w:r>
      <w:r w:rsidRPr="008E2B3B">
        <w:rPr>
          <w:rFonts w:eastAsia="宋体"/>
          <w:kern w:val="0"/>
          <w:szCs w:val="20"/>
        </w:rPr>
        <w:t>93</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2004</w:t>
      </w:r>
      <w:r w:rsidRPr="008E2B3B">
        <w:rPr>
          <w:rFonts w:eastAsia="宋体"/>
          <w:kern w:val="0"/>
          <w:szCs w:val="20"/>
        </w:rPr>
        <w:t>年，第</w:t>
      </w:r>
      <w:r w:rsidRPr="008E2B3B">
        <w:rPr>
          <w:rFonts w:eastAsia="宋体"/>
          <w:kern w:val="0"/>
          <w:szCs w:val="20"/>
        </w:rPr>
        <w:t>177-185</w:t>
      </w:r>
      <w:r w:rsidRPr="008E2B3B">
        <w:rPr>
          <w:rFonts w:eastAsia="宋体"/>
          <w:kern w:val="0"/>
          <w:szCs w:val="20"/>
        </w:rPr>
        <w:t>页。</w:t>
      </w:r>
    </w:p>
    <w:p w14:paraId="63FCF74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76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美国奥弗曼、</w:t>
      </w:r>
      <w:r w:rsidRPr="008E2B3B">
        <w:rPr>
          <w:rFonts w:eastAsia="宋体"/>
          <w:kern w:val="0"/>
          <w:szCs w:val="20"/>
        </w:rPr>
        <w:t>E.</w:t>
      </w:r>
      <w:r w:rsidRPr="008E2B3B">
        <w:rPr>
          <w:rFonts w:eastAsia="宋体"/>
          <w:kern w:val="0"/>
          <w:szCs w:val="20"/>
        </w:rPr>
        <w:t>和埃德金顿，</w:t>
      </w:r>
      <w:r w:rsidRPr="008E2B3B">
        <w:rPr>
          <w:rFonts w:eastAsia="宋体"/>
          <w:kern w:val="0"/>
          <w:szCs w:val="20"/>
        </w:rPr>
        <w:t>A.N.</w:t>
      </w:r>
      <w:r w:rsidRPr="008E2B3B">
        <w:rPr>
          <w:rFonts w:eastAsia="宋体"/>
          <w:kern w:val="0"/>
          <w:szCs w:val="20"/>
        </w:rPr>
        <w:t>，</w:t>
      </w:r>
      <w:r w:rsidRPr="008E2B3B">
        <w:rPr>
          <w:rFonts w:eastAsia="宋体"/>
          <w:kern w:val="0"/>
          <w:szCs w:val="20"/>
        </w:rPr>
        <w:t>"</w:t>
      </w:r>
      <w:r w:rsidRPr="008E2B3B">
        <w:rPr>
          <w:rFonts w:eastAsia="宋体"/>
          <w:kern w:val="0"/>
          <w:szCs w:val="20"/>
        </w:rPr>
        <w:t>小分子和生物制剂的对比毒动力学评价和物种间药代动力学缩放方法：生物仿制药发育的适用性</w:t>
      </w:r>
      <w:r w:rsidRPr="008E2B3B">
        <w:rPr>
          <w:rFonts w:eastAsia="宋体"/>
          <w:kern w:val="0"/>
          <w:szCs w:val="20"/>
        </w:rPr>
        <w:t>"</w:t>
      </w:r>
      <w:r w:rsidRPr="008E2B3B">
        <w:rPr>
          <w:rFonts w:eastAsia="宋体"/>
          <w:kern w:val="0"/>
          <w:szCs w:val="20"/>
        </w:rPr>
        <w:t>，</w:t>
      </w:r>
      <w:proofErr w:type="spellStart"/>
      <w:r w:rsidRPr="008E2B3B">
        <w:rPr>
          <w:rFonts w:eastAsia="宋体"/>
          <w:kern w:val="0"/>
          <w:szCs w:val="20"/>
        </w:rPr>
        <w:t>Xenobiotica</w:t>
      </w:r>
      <w:proofErr w:type="spellEnd"/>
      <w:r w:rsidRPr="008E2B3B">
        <w:rPr>
          <w:rFonts w:eastAsia="宋体"/>
          <w:kern w:val="0"/>
          <w:szCs w:val="20"/>
        </w:rPr>
        <w:t>，第</w:t>
      </w:r>
      <w:r w:rsidRPr="008E2B3B">
        <w:rPr>
          <w:rFonts w:eastAsia="宋体"/>
          <w:kern w:val="0"/>
          <w:szCs w:val="20"/>
        </w:rPr>
        <w:t>43</w:t>
      </w:r>
      <w:r w:rsidRPr="008E2B3B">
        <w:rPr>
          <w:rFonts w:eastAsia="宋体"/>
          <w:kern w:val="0"/>
          <w:szCs w:val="20"/>
        </w:rPr>
        <w:t>卷，第</w:t>
      </w:r>
      <w:r w:rsidRPr="008E2B3B">
        <w:rPr>
          <w:rFonts w:eastAsia="宋体"/>
          <w:kern w:val="0"/>
          <w:szCs w:val="20"/>
        </w:rPr>
        <w:t>6</w:t>
      </w:r>
      <w:r w:rsidRPr="008E2B3B">
        <w:rPr>
          <w:rFonts w:eastAsia="宋体"/>
          <w:kern w:val="0"/>
          <w:szCs w:val="20"/>
        </w:rPr>
        <w:t>号，</w:t>
      </w:r>
      <w:r w:rsidRPr="008E2B3B">
        <w:rPr>
          <w:rFonts w:eastAsia="宋体"/>
          <w:kern w:val="0"/>
          <w:szCs w:val="20"/>
        </w:rPr>
        <w:t>2013</w:t>
      </w:r>
      <w:r w:rsidRPr="008E2B3B">
        <w:rPr>
          <w:rFonts w:eastAsia="宋体"/>
          <w:kern w:val="0"/>
          <w:szCs w:val="20"/>
        </w:rPr>
        <w:t>年，第</w:t>
      </w:r>
      <w:r w:rsidRPr="008E2B3B">
        <w:rPr>
          <w:rFonts w:eastAsia="宋体"/>
          <w:kern w:val="0"/>
          <w:szCs w:val="20"/>
        </w:rPr>
        <w:t>561-569</w:t>
      </w:r>
      <w:r w:rsidRPr="008E2B3B">
        <w:rPr>
          <w:rFonts w:eastAsia="宋体"/>
          <w:kern w:val="0"/>
          <w:szCs w:val="20"/>
        </w:rPr>
        <w:t>页。</w:t>
      </w:r>
    </w:p>
    <w:p w14:paraId="7AA7E55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77</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雷曼兄弟，</w:t>
      </w:r>
      <w:r w:rsidRPr="008E2B3B">
        <w:rPr>
          <w:rFonts w:eastAsia="宋体"/>
          <w:kern w:val="0"/>
          <w:szCs w:val="20"/>
        </w:rPr>
        <w:t>A.J.</w:t>
      </w:r>
      <w:proofErr w:type="gramStart"/>
      <w:r w:rsidRPr="008E2B3B">
        <w:rPr>
          <w:rFonts w:eastAsia="宋体"/>
          <w:kern w:val="0"/>
          <w:szCs w:val="20"/>
        </w:rPr>
        <w:t>和菲珠</w:t>
      </w:r>
      <w:proofErr w:type="gramEnd"/>
      <w:r w:rsidRPr="008E2B3B">
        <w:rPr>
          <w:rFonts w:eastAsia="宋体"/>
          <w:kern w:val="0"/>
          <w:szCs w:val="20"/>
        </w:rPr>
        <w:t>，</w:t>
      </w:r>
      <w:r w:rsidRPr="008E2B3B">
        <w:rPr>
          <w:rFonts w:eastAsia="宋体"/>
          <w:kern w:val="0"/>
          <w:szCs w:val="20"/>
        </w:rPr>
        <w:t>O.G.</w:t>
      </w:r>
      <w:r w:rsidRPr="008E2B3B">
        <w:rPr>
          <w:rFonts w:eastAsia="宋体"/>
          <w:kern w:val="0"/>
          <w:szCs w:val="20"/>
        </w:rPr>
        <w:t>，</w:t>
      </w:r>
      <w:r w:rsidRPr="008E2B3B">
        <w:rPr>
          <w:rFonts w:eastAsia="宋体"/>
          <w:kern w:val="0"/>
          <w:szCs w:val="20"/>
        </w:rPr>
        <w:t>"100</w:t>
      </w:r>
      <w:r w:rsidRPr="008E2B3B">
        <w:rPr>
          <w:rFonts w:eastAsia="宋体"/>
          <w:kern w:val="0"/>
          <w:szCs w:val="20"/>
        </w:rPr>
        <w:t>倍的安全边际</w:t>
      </w:r>
      <w:r w:rsidRPr="008E2B3B">
        <w:rPr>
          <w:rFonts w:eastAsia="宋体"/>
          <w:kern w:val="0"/>
          <w:szCs w:val="20"/>
        </w:rPr>
        <w:t>"</w:t>
      </w:r>
      <w:r w:rsidRPr="008E2B3B">
        <w:rPr>
          <w:rFonts w:eastAsia="宋体"/>
          <w:kern w:val="0"/>
          <w:szCs w:val="20"/>
        </w:rPr>
        <w:t>，美国阿索克食品药品，第</w:t>
      </w:r>
      <w:r w:rsidRPr="008E2B3B">
        <w:rPr>
          <w:rFonts w:eastAsia="宋体"/>
          <w:kern w:val="0"/>
          <w:szCs w:val="20"/>
        </w:rPr>
        <w:t>18</w:t>
      </w:r>
      <w:r w:rsidRPr="008E2B3B">
        <w:rPr>
          <w:rFonts w:eastAsia="宋体"/>
          <w:kern w:val="0"/>
          <w:szCs w:val="20"/>
        </w:rPr>
        <w:t>卷，</w:t>
      </w:r>
      <w:r w:rsidRPr="008E2B3B">
        <w:rPr>
          <w:rFonts w:eastAsia="宋体"/>
          <w:kern w:val="0"/>
          <w:szCs w:val="20"/>
        </w:rPr>
        <w:t>1954</w:t>
      </w:r>
      <w:r w:rsidRPr="008E2B3B">
        <w:rPr>
          <w:rFonts w:eastAsia="宋体"/>
          <w:kern w:val="0"/>
          <w:szCs w:val="20"/>
        </w:rPr>
        <w:t>年，第</w:t>
      </w:r>
      <w:r w:rsidRPr="008E2B3B">
        <w:rPr>
          <w:rFonts w:eastAsia="宋体"/>
          <w:kern w:val="0"/>
          <w:szCs w:val="20"/>
        </w:rPr>
        <w:t>33-35</w:t>
      </w:r>
      <w:r w:rsidRPr="008E2B3B">
        <w:rPr>
          <w:rFonts w:eastAsia="宋体"/>
          <w:kern w:val="0"/>
          <w:szCs w:val="20"/>
        </w:rPr>
        <w:t>页。</w:t>
      </w:r>
    </w:p>
    <w:p w14:paraId="1616266E"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78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Renwick</w:t>
      </w:r>
      <w:r w:rsidRPr="008E2B3B">
        <w:rPr>
          <w:rFonts w:eastAsia="宋体"/>
          <w:kern w:val="0"/>
          <w:szCs w:val="20"/>
        </w:rPr>
        <w:t>，</w:t>
      </w:r>
      <w:r w:rsidRPr="008E2B3B">
        <w:rPr>
          <w:rFonts w:eastAsia="宋体"/>
          <w:kern w:val="0"/>
          <w:szCs w:val="20"/>
        </w:rPr>
        <w:t xml:space="preserve"> A. G.</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安全因素和建立可接受的每日摄入量</w:t>
      </w:r>
      <w:r w:rsidRPr="008E2B3B">
        <w:rPr>
          <w:rFonts w:eastAsia="宋体"/>
          <w:kern w:val="0"/>
          <w:szCs w:val="20"/>
        </w:rPr>
        <w:t>"</w:t>
      </w:r>
      <w:r w:rsidRPr="008E2B3B">
        <w:rPr>
          <w:rFonts w:eastAsia="宋体"/>
          <w:kern w:val="0"/>
          <w:szCs w:val="20"/>
        </w:rPr>
        <w:t>，</w:t>
      </w:r>
      <w:r w:rsidRPr="008E2B3B">
        <w:rPr>
          <w:rFonts w:eastAsia="宋体"/>
          <w:kern w:val="0"/>
          <w:szCs w:val="20"/>
        </w:rPr>
        <w:t xml:space="preserve"> </w:t>
      </w:r>
      <w:r w:rsidRPr="008E2B3B">
        <w:rPr>
          <w:rFonts w:eastAsia="宋体"/>
          <w:kern w:val="0"/>
          <w:szCs w:val="20"/>
        </w:rPr>
        <w:t>食品</w:t>
      </w:r>
      <w:r w:rsidRPr="008E2B3B">
        <w:rPr>
          <w:rFonts w:eastAsia="宋体"/>
          <w:kern w:val="0"/>
          <w:szCs w:val="20"/>
        </w:rPr>
        <w:t xml:space="preserve"> </w:t>
      </w:r>
      <w:proofErr w:type="spellStart"/>
      <w:r w:rsidRPr="008E2B3B">
        <w:rPr>
          <w:rFonts w:eastAsia="宋体"/>
          <w:kern w:val="0"/>
          <w:szCs w:val="20"/>
        </w:rPr>
        <w:t>Addit</w:t>
      </w:r>
      <w:proofErr w:type="spellEnd"/>
      <w:r w:rsidRPr="008E2B3B">
        <w:rPr>
          <w:rFonts w:eastAsia="宋体"/>
          <w:kern w:val="0"/>
          <w:szCs w:val="20"/>
        </w:rPr>
        <w:t xml:space="preserve"> </w:t>
      </w:r>
      <w:proofErr w:type="spellStart"/>
      <w:r w:rsidRPr="008E2B3B">
        <w:rPr>
          <w:rFonts w:eastAsia="宋体"/>
          <w:kern w:val="0"/>
          <w:szCs w:val="20"/>
        </w:rPr>
        <w:t>Contam</w:t>
      </w:r>
      <w:proofErr w:type="spellEnd"/>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8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2 </w:t>
      </w:r>
      <w:r w:rsidRPr="008E2B3B">
        <w:rPr>
          <w:rFonts w:eastAsia="宋体"/>
          <w:kern w:val="0"/>
          <w:szCs w:val="20"/>
        </w:rPr>
        <w:t>号，</w:t>
      </w:r>
      <w:r w:rsidRPr="008E2B3B">
        <w:rPr>
          <w:rFonts w:eastAsia="宋体"/>
          <w:kern w:val="0"/>
          <w:szCs w:val="20"/>
        </w:rPr>
        <w:t xml:space="preserve"> 1991 </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135-149 </w:t>
      </w:r>
      <w:r w:rsidRPr="008E2B3B">
        <w:rPr>
          <w:rFonts w:eastAsia="宋体"/>
          <w:kern w:val="0"/>
          <w:szCs w:val="20"/>
        </w:rPr>
        <w:t>页。</w:t>
      </w:r>
    </w:p>
    <w:p w14:paraId="6ACD0C1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79</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Renwick</w:t>
      </w:r>
      <w:r w:rsidRPr="008E2B3B">
        <w:rPr>
          <w:rFonts w:eastAsia="宋体"/>
          <w:kern w:val="0"/>
          <w:szCs w:val="20"/>
        </w:rPr>
        <w:t>，</w:t>
      </w:r>
      <w:r w:rsidRPr="008E2B3B">
        <w:rPr>
          <w:rFonts w:eastAsia="宋体"/>
          <w:kern w:val="0"/>
          <w:szCs w:val="20"/>
        </w:rPr>
        <w:t xml:space="preserve"> A. G.</w:t>
      </w:r>
      <w:r w:rsidRPr="008E2B3B">
        <w:rPr>
          <w:rFonts w:eastAsia="宋体"/>
          <w:kern w:val="0"/>
          <w:szCs w:val="20"/>
        </w:rPr>
        <w:t>，</w:t>
      </w:r>
      <w:r w:rsidRPr="008E2B3B">
        <w:rPr>
          <w:rFonts w:eastAsia="宋体"/>
          <w:kern w:val="0"/>
          <w:szCs w:val="20"/>
        </w:rPr>
        <w:t xml:space="preserve"> "</w:t>
      </w:r>
      <w:r w:rsidRPr="008E2B3B">
        <w:rPr>
          <w:rFonts w:eastAsia="宋体"/>
          <w:kern w:val="0"/>
          <w:szCs w:val="20"/>
        </w:rPr>
        <w:t>食品添加剂和环境污染物评估的数据衍生安全系数</w:t>
      </w:r>
      <w:r w:rsidRPr="008E2B3B">
        <w:rPr>
          <w:rFonts w:eastAsia="宋体"/>
          <w:kern w:val="0"/>
          <w:szCs w:val="20"/>
        </w:rPr>
        <w:t>"</w:t>
      </w:r>
      <w:r w:rsidRPr="008E2B3B">
        <w:rPr>
          <w:rFonts w:eastAsia="宋体"/>
          <w:kern w:val="0"/>
          <w:szCs w:val="20"/>
        </w:rPr>
        <w:t>，食品</w:t>
      </w:r>
      <w:r w:rsidRPr="008E2B3B">
        <w:rPr>
          <w:rFonts w:eastAsia="宋体"/>
          <w:kern w:val="0"/>
          <w:szCs w:val="20"/>
        </w:rPr>
        <w:t xml:space="preserve"> </w:t>
      </w:r>
      <w:proofErr w:type="spellStart"/>
      <w:r w:rsidRPr="008E2B3B">
        <w:rPr>
          <w:rFonts w:eastAsia="宋体"/>
          <w:kern w:val="0"/>
          <w:szCs w:val="20"/>
        </w:rPr>
        <w:t>Addit</w:t>
      </w:r>
      <w:proofErr w:type="spellEnd"/>
      <w:r w:rsidRPr="008E2B3B">
        <w:rPr>
          <w:rFonts w:eastAsia="宋体"/>
          <w:kern w:val="0"/>
          <w:szCs w:val="20"/>
        </w:rPr>
        <w:t xml:space="preserve"> </w:t>
      </w:r>
      <w:proofErr w:type="spellStart"/>
      <w:r w:rsidRPr="008E2B3B">
        <w:rPr>
          <w:rFonts w:eastAsia="宋体"/>
          <w:kern w:val="0"/>
          <w:szCs w:val="20"/>
        </w:rPr>
        <w:t>Contam</w:t>
      </w:r>
      <w:proofErr w:type="spellEnd"/>
      <w:r w:rsidRPr="008E2B3B">
        <w:rPr>
          <w:rFonts w:eastAsia="宋体"/>
          <w:kern w:val="0"/>
          <w:szCs w:val="20"/>
        </w:rPr>
        <w:t>，第</w:t>
      </w:r>
      <w:r w:rsidRPr="008E2B3B">
        <w:rPr>
          <w:rFonts w:eastAsia="宋体"/>
          <w:kern w:val="0"/>
          <w:szCs w:val="20"/>
        </w:rPr>
        <w:t>10</w:t>
      </w:r>
      <w:r w:rsidRPr="008E2B3B">
        <w:rPr>
          <w:rFonts w:eastAsia="宋体"/>
          <w:kern w:val="0"/>
          <w:szCs w:val="20"/>
        </w:rPr>
        <w:t>卷，第</w:t>
      </w:r>
      <w:r w:rsidRPr="008E2B3B">
        <w:rPr>
          <w:rFonts w:eastAsia="宋体"/>
          <w:kern w:val="0"/>
          <w:szCs w:val="20"/>
        </w:rPr>
        <w:t>3</w:t>
      </w:r>
      <w:r w:rsidRPr="008E2B3B">
        <w:rPr>
          <w:rFonts w:eastAsia="宋体"/>
          <w:kern w:val="0"/>
          <w:szCs w:val="20"/>
        </w:rPr>
        <w:t>号，</w:t>
      </w:r>
      <w:r w:rsidRPr="008E2B3B">
        <w:rPr>
          <w:rFonts w:eastAsia="宋体"/>
          <w:kern w:val="0"/>
          <w:szCs w:val="20"/>
        </w:rPr>
        <w:t>1993</w:t>
      </w:r>
      <w:r w:rsidRPr="008E2B3B">
        <w:rPr>
          <w:rFonts w:eastAsia="宋体"/>
          <w:kern w:val="0"/>
          <w:szCs w:val="20"/>
        </w:rPr>
        <w:t>年，第</w:t>
      </w:r>
      <w:r w:rsidRPr="008E2B3B">
        <w:rPr>
          <w:rFonts w:eastAsia="宋体"/>
          <w:kern w:val="0"/>
          <w:szCs w:val="20"/>
        </w:rPr>
        <w:t>275-305</w:t>
      </w:r>
      <w:r w:rsidRPr="008E2B3B">
        <w:rPr>
          <w:rFonts w:eastAsia="宋体"/>
          <w:kern w:val="0"/>
          <w:szCs w:val="20"/>
        </w:rPr>
        <w:t>页。</w:t>
      </w:r>
    </w:p>
    <w:p w14:paraId="5756EA0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80</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Renwick</w:t>
      </w:r>
      <w:r w:rsidRPr="008E2B3B">
        <w:rPr>
          <w:rFonts w:eastAsia="宋体"/>
          <w:kern w:val="0"/>
          <w:szCs w:val="20"/>
        </w:rPr>
        <w:t>，</w:t>
      </w:r>
      <w:r w:rsidRPr="008E2B3B">
        <w:rPr>
          <w:rFonts w:eastAsia="宋体"/>
          <w:kern w:val="0"/>
          <w:szCs w:val="20"/>
        </w:rPr>
        <w:t xml:space="preserve"> A. G.</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婴儿和儿童与</w:t>
      </w:r>
      <w:r w:rsidRPr="008E2B3B">
        <w:rPr>
          <w:rFonts w:eastAsia="宋体"/>
          <w:kern w:val="0"/>
          <w:szCs w:val="20"/>
        </w:rPr>
        <w:t xml:space="preserve"> ADI </w:t>
      </w:r>
      <w:r w:rsidRPr="008E2B3B">
        <w:rPr>
          <w:rFonts w:eastAsia="宋体"/>
          <w:kern w:val="0"/>
          <w:szCs w:val="20"/>
        </w:rPr>
        <w:t>和</w:t>
      </w:r>
      <w:r w:rsidRPr="008E2B3B">
        <w:rPr>
          <w:rFonts w:eastAsia="宋体"/>
          <w:kern w:val="0"/>
          <w:szCs w:val="20"/>
        </w:rPr>
        <w:t xml:space="preserve"> TDI </w:t>
      </w:r>
      <w:r w:rsidRPr="008E2B3B">
        <w:rPr>
          <w:rFonts w:eastAsia="宋体"/>
          <w:kern w:val="0"/>
          <w:szCs w:val="20"/>
        </w:rPr>
        <w:t>有关的毒理学</w:t>
      </w:r>
      <w:r w:rsidRPr="008E2B3B">
        <w:rPr>
          <w:rFonts w:eastAsia="宋体"/>
          <w:kern w:val="0"/>
          <w:szCs w:val="20"/>
        </w:rPr>
        <w:t>"</w:t>
      </w:r>
      <w:r w:rsidRPr="008E2B3B">
        <w:rPr>
          <w:rFonts w:eastAsia="宋体"/>
          <w:kern w:val="0"/>
          <w:szCs w:val="20"/>
        </w:rPr>
        <w:t>，</w:t>
      </w:r>
      <w:r w:rsidRPr="008E2B3B">
        <w:rPr>
          <w:rFonts w:eastAsia="宋体"/>
          <w:kern w:val="0"/>
          <w:szCs w:val="20"/>
        </w:rPr>
        <w:t xml:space="preserve"> </w:t>
      </w:r>
      <w:r w:rsidRPr="008E2B3B">
        <w:rPr>
          <w:rFonts w:eastAsia="宋体"/>
          <w:kern w:val="0"/>
          <w:szCs w:val="20"/>
        </w:rPr>
        <w:t>食品</w:t>
      </w:r>
      <w:r w:rsidRPr="008E2B3B">
        <w:rPr>
          <w:rFonts w:eastAsia="宋体"/>
          <w:kern w:val="0"/>
          <w:szCs w:val="20"/>
        </w:rPr>
        <w:t xml:space="preserve"> </w:t>
      </w:r>
      <w:proofErr w:type="spellStart"/>
      <w:r w:rsidRPr="008E2B3B">
        <w:rPr>
          <w:rFonts w:eastAsia="宋体"/>
          <w:kern w:val="0"/>
          <w:szCs w:val="20"/>
        </w:rPr>
        <w:t>Addit</w:t>
      </w:r>
      <w:proofErr w:type="spellEnd"/>
      <w:r w:rsidRPr="008E2B3B">
        <w:rPr>
          <w:rFonts w:eastAsia="宋体"/>
          <w:kern w:val="0"/>
          <w:szCs w:val="20"/>
        </w:rPr>
        <w:t xml:space="preserve"> </w:t>
      </w:r>
      <w:proofErr w:type="spellStart"/>
      <w:r w:rsidRPr="008E2B3B">
        <w:rPr>
          <w:rFonts w:eastAsia="宋体"/>
          <w:kern w:val="0"/>
          <w:szCs w:val="20"/>
        </w:rPr>
        <w:t>Contam</w:t>
      </w:r>
      <w:proofErr w:type="spellEnd"/>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15 </w:t>
      </w:r>
      <w:r w:rsidRPr="008E2B3B">
        <w:rPr>
          <w:rFonts w:eastAsia="宋体"/>
          <w:kern w:val="0"/>
          <w:szCs w:val="20"/>
        </w:rPr>
        <w:t>卷，</w:t>
      </w:r>
      <w:r w:rsidRPr="008E2B3B">
        <w:rPr>
          <w:rFonts w:eastAsia="宋体"/>
          <w:kern w:val="0"/>
          <w:szCs w:val="20"/>
        </w:rPr>
        <w:t xml:space="preserve"> Suppl</w:t>
      </w:r>
      <w:r w:rsidRPr="008E2B3B">
        <w:rPr>
          <w:rFonts w:eastAsia="宋体"/>
          <w:kern w:val="0"/>
          <w:szCs w:val="20"/>
        </w:rPr>
        <w:t>，</w:t>
      </w:r>
      <w:r w:rsidRPr="008E2B3B">
        <w:rPr>
          <w:rFonts w:eastAsia="宋体"/>
          <w:kern w:val="0"/>
          <w:szCs w:val="20"/>
        </w:rPr>
        <w:t xml:space="preserve"> 1998 </w:t>
      </w:r>
      <w:r w:rsidRPr="008E2B3B">
        <w:rPr>
          <w:rFonts w:eastAsia="宋体"/>
          <w:kern w:val="0"/>
          <w:szCs w:val="20"/>
        </w:rPr>
        <w:t>年，</w:t>
      </w:r>
      <w:r w:rsidRPr="008E2B3B">
        <w:rPr>
          <w:rFonts w:eastAsia="宋体"/>
          <w:kern w:val="0"/>
          <w:szCs w:val="20"/>
        </w:rPr>
        <w:t xml:space="preserve"> pp.</w:t>
      </w:r>
    </w:p>
    <w:p w14:paraId="3C5C4C88" w14:textId="77777777" w:rsidR="00EC1A52" w:rsidRPr="008E2B3B" w:rsidRDefault="00EC1A52" w:rsidP="00EC1A52">
      <w:pPr>
        <w:spacing w:after="13" w:line="256" w:lineRule="auto"/>
        <w:ind w:left="367" w:firstLine="0"/>
        <w:jc w:val="left"/>
        <w:rPr>
          <w:rFonts w:eastAsia="宋体"/>
          <w:kern w:val="0"/>
          <w:szCs w:val="20"/>
        </w:rPr>
      </w:pPr>
      <w:r w:rsidRPr="008E2B3B">
        <w:rPr>
          <w:rFonts w:eastAsia="宋体"/>
          <w:kern w:val="0"/>
          <w:szCs w:val="20"/>
        </w:rPr>
        <w:t>17-35.</w:t>
      </w:r>
    </w:p>
    <w:p w14:paraId="3BF0D646"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81</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Valcke</w:t>
      </w:r>
      <w:r w:rsidRPr="008E2B3B">
        <w:rPr>
          <w:rFonts w:eastAsia="宋体"/>
          <w:kern w:val="0"/>
          <w:szCs w:val="20"/>
        </w:rPr>
        <w:t>，</w:t>
      </w:r>
      <w:r w:rsidRPr="008E2B3B">
        <w:rPr>
          <w:rFonts w:eastAsia="宋体"/>
          <w:kern w:val="0"/>
          <w:szCs w:val="20"/>
        </w:rPr>
        <w:t>M.</w:t>
      </w:r>
      <w:r w:rsidRPr="008E2B3B">
        <w:rPr>
          <w:rFonts w:eastAsia="宋体"/>
          <w:kern w:val="0"/>
          <w:szCs w:val="20"/>
        </w:rPr>
        <w:t>和</w:t>
      </w:r>
      <w:r w:rsidRPr="008E2B3B">
        <w:rPr>
          <w:rFonts w:eastAsia="宋体"/>
          <w:kern w:val="0"/>
          <w:szCs w:val="20"/>
        </w:rPr>
        <w:t>Krishnan</w:t>
      </w:r>
      <w:r w:rsidRPr="008E2B3B">
        <w:rPr>
          <w:rFonts w:eastAsia="宋体"/>
          <w:kern w:val="0"/>
          <w:szCs w:val="20"/>
        </w:rPr>
        <w:t>，</w:t>
      </w:r>
      <w:r w:rsidRPr="008E2B3B">
        <w:rPr>
          <w:rFonts w:eastAsia="宋体"/>
          <w:kern w:val="0"/>
          <w:szCs w:val="20"/>
        </w:rPr>
        <w:t>K.</w:t>
      </w:r>
      <w:r w:rsidRPr="008E2B3B">
        <w:rPr>
          <w:rFonts w:eastAsia="宋体"/>
          <w:kern w:val="0"/>
          <w:szCs w:val="20"/>
        </w:rPr>
        <w:t>，</w:t>
      </w:r>
      <w:r w:rsidRPr="008E2B3B">
        <w:rPr>
          <w:rFonts w:eastAsia="宋体"/>
          <w:kern w:val="0"/>
          <w:szCs w:val="20"/>
        </w:rPr>
        <w:t>"</w:t>
      </w:r>
      <w:r w:rsidRPr="008E2B3B">
        <w:rPr>
          <w:rFonts w:eastAsia="宋体"/>
          <w:kern w:val="0"/>
          <w:szCs w:val="20"/>
        </w:rPr>
        <w:t>评估吸入暴露的持续时间和强度对儿童和成人内部剂量指标变</w:t>
      </w:r>
      <w:r w:rsidRPr="008E2B3B">
        <w:rPr>
          <w:rFonts w:eastAsia="宋体"/>
          <w:kern w:val="0"/>
          <w:szCs w:val="20"/>
        </w:rPr>
        <w:t>化程度的影响</w:t>
      </w:r>
      <w:r w:rsidRPr="008E2B3B">
        <w:rPr>
          <w:rFonts w:eastAsia="宋体"/>
          <w:kern w:val="0"/>
          <w:szCs w:val="20"/>
        </w:rPr>
        <w:t>"</w:t>
      </w:r>
      <w:r w:rsidRPr="008E2B3B">
        <w:rPr>
          <w:rFonts w:eastAsia="宋体"/>
          <w:kern w:val="0"/>
          <w:szCs w:val="20"/>
        </w:rPr>
        <w:t>，吸入毒醇，第</w:t>
      </w:r>
      <w:r w:rsidRPr="008E2B3B">
        <w:rPr>
          <w:rFonts w:eastAsia="宋体"/>
          <w:kern w:val="0"/>
          <w:szCs w:val="20"/>
        </w:rPr>
        <w:t>23</w:t>
      </w:r>
      <w:r w:rsidRPr="008E2B3B">
        <w:rPr>
          <w:rFonts w:eastAsia="宋体"/>
          <w:kern w:val="0"/>
          <w:szCs w:val="20"/>
        </w:rPr>
        <w:t>卷，第</w:t>
      </w:r>
      <w:r w:rsidRPr="008E2B3B">
        <w:rPr>
          <w:rFonts w:eastAsia="宋体"/>
          <w:kern w:val="0"/>
          <w:szCs w:val="20"/>
        </w:rPr>
        <w:t>14</w:t>
      </w:r>
      <w:r w:rsidRPr="008E2B3B">
        <w:rPr>
          <w:rFonts w:eastAsia="宋体"/>
          <w:kern w:val="0"/>
          <w:szCs w:val="20"/>
        </w:rPr>
        <w:t>号，</w:t>
      </w:r>
      <w:r w:rsidRPr="008E2B3B">
        <w:rPr>
          <w:rFonts w:eastAsia="宋体"/>
          <w:kern w:val="0"/>
          <w:szCs w:val="20"/>
        </w:rPr>
        <w:t>2011</w:t>
      </w:r>
      <w:r w:rsidRPr="008E2B3B">
        <w:rPr>
          <w:rFonts w:eastAsia="宋体"/>
          <w:kern w:val="0"/>
          <w:szCs w:val="20"/>
        </w:rPr>
        <w:t>年，第</w:t>
      </w:r>
      <w:r w:rsidRPr="008E2B3B">
        <w:rPr>
          <w:rFonts w:eastAsia="宋体"/>
          <w:kern w:val="0"/>
          <w:szCs w:val="20"/>
        </w:rPr>
        <w:t>863-877</w:t>
      </w:r>
      <w:r w:rsidRPr="008E2B3B">
        <w:rPr>
          <w:rFonts w:eastAsia="宋体"/>
          <w:kern w:val="0"/>
          <w:szCs w:val="20"/>
        </w:rPr>
        <w:t>页。</w:t>
      </w:r>
    </w:p>
    <w:p w14:paraId="2158FF3E"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82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Alcorn</w:t>
      </w:r>
      <w:r w:rsidRPr="008E2B3B">
        <w:rPr>
          <w:rFonts w:eastAsia="宋体"/>
          <w:kern w:val="0"/>
          <w:szCs w:val="20"/>
        </w:rPr>
        <w:t>，</w:t>
      </w:r>
      <w:r w:rsidRPr="008E2B3B">
        <w:rPr>
          <w:rFonts w:eastAsia="宋体"/>
          <w:kern w:val="0"/>
          <w:szCs w:val="20"/>
        </w:rPr>
        <w:t xml:space="preserve"> J. </w:t>
      </w:r>
      <w:r w:rsidRPr="008E2B3B">
        <w:rPr>
          <w:rFonts w:eastAsia="宋体"/>
          <w:kern w:val="0"/>
          <w:szCs w:val="20"/>
        </w:rPr>
        <w:t>和</w:t>
      </w:r>
      <w:r w:rsidRPr="008E2B3B">
        <w:rPr>
          <w:rFonts w:eastAsia="宋体"/>
          <w:kern w:val="0"/>
          <w:szCs w:val="20"/>
        </w:rPr>
        <w:t>McNamara</w:t>
      </w:r>
      <w:r w:rsidRPr="008E2B3B">
        <w:rPr>
          <w:rFonts w:eastAsia="宋体"/>
          <w:kern w:val="0"/>
          <w:szCs w:val="20"/>
        </w:rPr>
        <w:t>，</w:t>
      </w:r>
      <w:r w:rsidRPr="008E2B3B">
        <w:rPr>
          <w:rFonts w:eastAsia="宋体"/>
          <w:kern w:val="0"/>
          <w:szCs w:val="20"/>
        </w:rPr>
        <w:t xml:space="preserve"> P.J.</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婴儿肝和肾全身清除途径的原位：第一部分</w:t>
      </w:r>
      <w:r w:rsidRPr="008E2B3B">
        <w:rPr>
          <w:rFonts w:eastAsia="宋体"/>
          <w:kern w:val="0"/>
          <w:szCs w:val="20"/>
        </w:rPr>
        <w:t>"</w:t>
      </w:r>
      <w:r w:rsidRPr="008E2B3B">
        <w:rPr>
          <w:rFonts w:eastAsia="宋体"/>
          <w:kern w:val="0"/>
          <w:szCs w:val="20"/>
        </w:rPr>
        <w:t>，</w:t>
      </w:r>
      <w:r w:rsidRPr="008E2B3B">
        <w:rPr>
          <w:rFonts w:eastAsia="宋体"/>
          <w:kern w:val="0"/>
          <w:szCs w:val="20"/>
        </w:rPr>
        <w:t>Clin</w:t>
      </w:r>
      <w:r w:rsidRPr="008E2B3B">
        <w:rPr>
          <w:rFonts w:eastAsia="宋体"/>
          <w:kern w:val="0"/>
          <w:szCs w:val="20"/>
        </w:rPr>
        <w:t>药典，第</w:t>
      </w:r>
      <w:r w:rsidRPr="008E2B3B">
        <w:rPr>
          <w:rFonts w:eastAsia="宋体"/>
          <w:kern w:val="0"/>
          <w:szCs w:val="20"/>
        </w:rPr>
        <w:t>41</w:t>
      </w:r>
      <w:r w:rsidRPr="008E2B3B">
        <w:rPr>
          <w:rFonts w:eastAsia="宋体"/>
          <w:kern w:val="0"/>
          <w:szCs w:val="20"/>
        </w:rPr>
        <w:t>卷，第</w:t>
      </w:r>
      <w:r w:rsidRPr="008E2B3B">
        <w:rPr>
          <w:rFonts w:eastAsia="宋体"/>
          <w:kern w:val="0"/>
          <w:szCs w:val="20"/>
        </w:rPr>
        <w:t>12</w:t>
      </w:r>
      <w:r w:rsidRPr="008E2B3B">
        <w:rPr>
          <w:rFonts w:eastAsia="宋体"/>
          <w:kern w:val="0"/>
          <w:szCs w:val="20"/>
        </w:rPr>
        <w:t>号，</w:t>
      </w:r>
      <w:r w:rsidRPr="008E2B3B">
        <w:rPr>
          <w:rFonts w:eastAsia="宋体"/>
          <w:kern w:val="0"/>
          <w:szCs w:val="20"/>
        </w:rPr>
        <w:t>2002</w:t>
      </w:r>
      <w:r w:rsidRPr="008E2B3B">
        <w:rPr>
          <w:rFonts w:eastAsia="宋体"/>
          <w:kern w:val="0"/>
          <w:szCs w:val="20"/>
        </w:rPr>
        <w:t>年，第</w:t>
      </w:r>
      <w:r w:rsidRPr="008E2B3B">
        <w:rPr>
          <w:rFonts w:eastAsia="宋体"/>
          <w:kern w:val="0"/>
          <w:szCs w:val="20"/>
        </w:rPr>
        <w:t>959-998</w:t>
      </w:r>
      <w:r w:rsidRPr="008E2B3B">
        <w:rPr>
          <w:rFonts w:eastAsia="宋体"/>
          <w:kern w:val="0"/>
          <w:szCs w:val="20"/>
        </w:rPr>
        <w:t>页。</w:t>
      </w:r>
    </w:p>
    <w:p w14:paraId="6E44AFC2"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83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Alcorn</w:t>
      </w:r>
      <w:r w:rsidRPr="008E2B3B">
        <w:rPr>
          <w:rFonts w:eastAsia="宋体"/>
          <w:kern w:val="0"/>
          <w:szCs w:val="20"/>
        </w:rPr>
        <w:t>，</w:t>
      </w:r>
      <w:r w:rsidRPr="008E2B3B">
        <w:rPr>
          <w:rFonts w:eastAsia="宋体"/>
          <w:kern w:val="0"/>
          <w:szCs w:val="20"/>
        </w:rPr>
        <w:t xml:space="preserve"> J. </w:t>
      </w:r>
      <w:r w:rsidRPr="008E2B3B">
        <w:rPr>
          <w:rFonts w:eastAsia="宋体"/>
          <w:kern w:val="0"/>
          <w:szCs w:val="20"/>
        </w:rPr>
        <w:t>和</w:t>
      </w:r>
      <w:r w:rsidRPr="008E2B3B">
        <w:rPr>
          <w:rFonts w:eastAsia="宋体"/>
          <w:kern w:val="0"/>
          <w:szCs w:val="20"/>
        </w:rPr>
        <w:t>McNamara</w:t>
      </w:r>
      <w:r w:rsidRPr="008E2B3B">
        <w:rPr>
          <w:rFonts w:eastAsia="宋体"/>
          <w:kern w:val="0"/>
          <w:szCs w:val="20"/>
        </w:rPr>
        <w:t>，</w:t>
      </w:r>
      <w:r w:rsidRPr="008E2B3B">
        <w:rPr>
          <w:rFonts w:eastAsia="宋体"/>
          <w:kern w:val="0"/>
          <w:szCs w:val="20"/>
        </w:rPr>
        <w:t xml:space="preserve"> P. J.</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婴儿肝和肾全身清除途径的奥根：第二部分</w:t>
      </w:r>
      <w:r w:rsidRPr="008E2B3B">
        <w:rPr>
          <w:rFonts w:eastAsia="宋体"/>
          <w:kern w:val="0"/>
          <w:szCs w:val="20"/>
        </w:rPr>
        <w:t>"</w:t>
      </w:r>
      <w:r w:rsidRPr="008E2B3B">
        <w:rPr>
          <w:rFonts w:eastAsia="宋体"/>
          <w:kern w:val="0"/>
          <w:szCs w:val="20"/>
        </w:rPr>
        <w:t>，</w:t>
      </w:r>
      <w:r w:rsidRPr="008E2B3B">
        <w:rPr>
          <w:rFonts w:eastAsia="宋体"/>
          <w:kern w:val="0"/>
          <w:szCs w:val="20"/>
        </w:rPr>
        <w:t>Clin</w:t>
      </w:r>
      <w:r w:rsidRPr="008E2B3B">
        <w:rPr>
          <w:rFonts w:eastAsia="宋体"/>
          <w:kern w:val="0"/>
          <w:szCs w:val="20"/>
        </w:rPr>
        <w:t>药典，第</w:t>
      </w:r>
      <w:r w:rsidRPr="008E2B3B">
        <w:rPr>
          <w:rFonts w:eastAsia="宋体"/>
          <w:kern w:val="0"/>
          <w:szCs w:val="20"/>
        </w:rPr>
        <w:t>41</w:t>
      </w:r>
      <w:r w:rsidRPr="008E2B3B">
        <w:rPr>
          <w:rFonts w:eastAsia="宋体"/>
          <w:kern w:val="0"/>
          <w:szCs w:val="20"/>
        </w:rPr>
        <w:t>卷，第</w:t>
      </w:r>
      <w:r w:rsidRPr="008E2B3B">
        <w:rPr>
          <w:rFonts w:eastAsia="宋体"/>
          <w:kern w:val="0"/>
          <w:szCs w:val="20"/>
        </w:rPr>
        <w:t>13</w:t>
      </w:r>
      <w:r w:rsidRPr="008E2B3B">
        <w:rPr>
          <w:rFonts w:eastAsia="宋体"/>
          <w:kern w:val="0"/>
          <w:szCs w:val="20"/>
        </w:rPr>
        <w:t>期，</w:t>
      </w:r>
      <w:r w:rsidRPr="008E2B3B">
        <w:rPr>
          <w:rFonts w:eastAsia="宋体"/>
          <w:kern w:val="0"/>
          <w:szCs w:val="20"/>
        </w:rPr>
        <w:t>2002</w:t>
      </w:r>
      <w:r w:rsidRPr="008E2B3B">
        <w:rPr>
          <w:rFonts w:eastAsia="宋体"/>
          <w:kern w:val="0"/>
          <w:szCs w:val="20"/>
        </w:rPr>
        <w:t>年，第</w:t>
      </w:r>
      <w:r w:rsidRPr="008E2B3B">
        <w:rPr>
          <w:rFonts w:eastAsia="宋体"/>
          <w:kern w:val="0"/>
          <w:szCs w:val="20"/>
        </w:rPr>
        <w:t>1077-1094</w:t>
      </w:r>
      <w:r w:rsidRPr="008E2B3B">
        <w:rPr>
          <w:rFonts w:eastAsia="宋体"/>
          <w:kern w:val="0"/>
          <w:szCs w:val="20"/>
        </w:rPr>
        <w:t>页。</w:t>
      </w:r>
    </w:p>
    <w:p w14:paraId="5C179531"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84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金斯伯格，</w:t>
      </w:r>
      <w:r w:rsidRPr="008E2B3B">
        <w:rPr>
          <w:rFonts w:eastAsia="宋体"/>
          <w:kern w:val="0"/>
          <w:szCs w:val="20"/>
        </w:rPr>
        <w:t>G.</w:t>
      </w:r>
      <w:r w:rsidRPr="008E2B3B">
        <w:rPr>
          <w:rFonts w:eastAsia="宋体"/>
          <w:kern w:val="0"/>
          <w:szCs w:val="20"/>
        </w:rPr>
        <w:t>等人，</w:t>
      </w:r>
      <w:r w:rsidRPr="008E2B3B">
        <w:rPr>
          <w:rFonts w:eastAsia="宋体"/>
          <w:kern w:val="0"/>
          <w:szCs w:val="20"/>
        </w:rPr>
        <w:t>"</w:t>
      </w:r>
      <w:r w:rsidRPr="008E2B3B">
        <w:rPr>
          <w:rFonts w:eastAsia="宋体"/>
          <w:kern w:val="0"/>
          <w:szCs w:val="20"/>
        </w:rPr>
        <w:t>儿童健康风险评估中酶对遗传的评价框架和案例研究</w:t>
      </w:r>
      <w:r w:rsidRPr="008E2B3B">
        <w:rPr>
          <w:rFonts w:eastAsia="宋体"/>
          <w:kern w:val="0"/>
          <w:szCs w:val="20"/>
        </w:rPr>
        <w:t>"</w:t>
      </w:r>
      <w:r w:rsidRPr="008E2B3B">
        <w:rPr>
          <w:rFonts w:eastAsia="宋体"/>
          <w:kern w:val="0"/>
          <w:szCs w:val="20"/>
        </w:rPr>
        <w:t>，</w:t>
      </w:r>
      <w:r w:rsidRPr="008E2B3B">
        <w:rPr>
          <w:rFonts w:eastAsia="宋体"/>
          <w:kern w:val="0"/>
          <w:szCs w:val="20"/>
        </w:rPr>
        <w:t>J</w:t>
      </w:r>
      <w:r w:rsidRPr="008E2B3B">
        <w:rPr>
          <w:rFonts w:eastAsia="宋体"/>
          <w:kern w:val="0"/>
          <w:szCs w:val="20"/>
        </w:rPr>
        <w:t>毒剂环境健康</w:t>
      </w:r>
      <w:r w:rsidRPr="008E2B3B">
        <w:rPr>
          <w:rFonts w:eastAsia="宋体"/>
          <w:kern w:val="0"/>
          <w:szCs w:val="20"/>
        </w:rPr>
        <w:t>A</w:t>
      </w:r>
      <w:r w:rsidRPr="008E2B3B">
        <w:rPr>
          <w:rFonts w:eastAsia="宋体"/>
          <w:kern w:val="0"/>
          <w:szCs w:val="20"/>
        </w:rPr>
        <w:t>，第</w:t>
      </w:r>
      <w:r w:rsidRPr="008E2B3B">
        <w:rPr>
          <w:rFonts w:eastAsia="宋体"/>
          <w:kern w:val="0"/>
          <w:szCs w:val="20"/>
        </w:rPr>
        <w:t>80</w:t>
      </w:r>
      <w:r w:rsidRPr="008E2B3B">
        <w:rPr>
          <w:rFonts w:eastAsia="宋体"/>
          <w:kern w:val="0"/>
          <w:szCs w:val="20"/>
        </w:rPr>
        <w:t>卷，第</w:t>
      </w:r>
      <w:r w:rsidRPr="008E2B3B">
        <w:rPr>
          <w:rFonts w:eastAsia="宋体"/>
          <w:kern w:val="0"/>
          <w:szCs w:val="20"/>
        </w:rPr>
        <w:t>10-12</w:t>
      </w:r>
      <w:r w:rsidRPr="008E2B3B">
        <w:rPr>
          <w:rFonts w:eastAsia="宋体"/>
          <w:kern w:val="0"/>
          <w:szCs w:val="20"/>
        </w:rPr>
        <w:t>号，</w:t>
      </w:r>
      <w:r w:rsidRPr="008E2B3B">
        <w:rPr>
          <w:rFonts w:eastAsia="宋体"/>
          <w:kern w:val="0"/>
          <w:szCs w:val="20"/>
        </w:rPr>
        <w:t>2017</w:t>
      </w:r>
      <w:r w:rsidRPr="008E2B3B">
        <w:rPr>
          <w:rFonts w:eastAsia="宋体"/>
          <w:kern w:val="0"/>
          <w:szCs w:val="20"/>
        </w:rPr>
        <w:t>年，第</w:t>
      </w:r>
      <w:r w:rsidRPr="008E2B3B">
        <w:rPr>
          <w:rFonts w:eastAsia="宋体"/>
          <w:kern w:val="0"/>
          <w:szCs w:val="20"/>
        </w:rPr>
        <w:t>569-593</w:t>
      </w:r>
      <w:r w:rsidRPr="008E2B3B">
        <w:rPr>
          <w:rFonts w:eastAsia="宋体"/>
          <w:kern w:val="0"/>
          <w:szCs w:val="20"/>
        </w:rPr>
        <w:t>页。</w:t>
      </w:r>
    </w:p>
    <w:p w14:paraId="0FC3726A"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85</w:t>
      </w:r>
      <w:r w:rsidRPr="008E2B3B">
        <w:rPr>
          <w:rFonts w:eastAsia="宋体"/>
          <w:b/>
          <w:bCs/>
          <w:color w:val="FF0000"/>
          <w:kern w:val="0"/>
          <w:szCs w:val="20"/>
        </w:rPr>
        <w:t>）</w:t>
      </w:r>
      <w:r w:rsidRPr="008E2B3B">
        <w:rPr>
          <w:rFonts w:eastAsia="宋体"/>
          <w:b/>
          <w:bCs/>
          <w:color w:val="FF0000"/>
          <w:kern w:val="0"/>
          <w:szCs w:val="20"/>
        </w:rPr>
        <w:t xml:space="preserve"> </w:t>
      </w:r>
      <w:proofErr w:type="gramStart"/>
      <w:r w:rsidRPr="008E2B3B">
        <w:rPr>
          <w:rFonts w:eastAsia="宋体"/>
          <w:kern w:val="0"/>
          <w:szCs w:val="20"/>
        </w:rPr>
        <w:t>舍普林</w:t>
      </w:r>
      <w:proofErr w:type="gramEnd"/>
      <w:r w:rsidRPr="008E2B3B">
        <w:rPr>
          <w:rFonts w:eastAsia="宋体"/>
          <w:kern w:val="0"/>
          <w:szCs w:val="20"/>
        </w:rPr>
        <w:t>，</w:t>
      </w:r>
      <w:r w:rsidRPr="008E2B3B">
        <w:rPr>
          <w:rFonts w:eastAsia="宋体"/>
          <w:kern w:val="0"/>
          <w:szCs w:val="20"/>
        </w:rPr>
        <w:t xml:space="preserve"> R.</w:t>
      </w:r>
      <w:r w:rsidRPr="008E2B3B">
        <w:rPr>
          <w:rFonts w:eastAsia="宋体"/>
          <w:kern w:val="0"/>
          <w:szCs w:val="20"/>
        </w:rPr>
        <w:t>，</w:t>
      </w:r>
      <w:r w:rsidRPr="008E2B3B">
        <w:rPr>
          <w:rFonts w:eastAsia="宋体"/>
          <w:kern w:val="0"/>
          <w:szCs w:val="20"/>
        </w:rPr>
        <w:t xml:space="preserve"> </w:t>
      </w:r>
      <w:proofErr w:type="gramStart"/>
      <w:r w:rsidRPr="008E2B3B">
        <w:rPr>
          <w:rFonts w:eastAsia="宋体"/>
          <w:kern w:val="0"/>
          <w:szCs w:val="20"/>
        </w:rPr>
        <w:t>查恩利</w:t>
      </w:r>
      <w:proofErr w:type="gramEnd"/>
      <w:r w:rsidRPr="008E2B3B">
        <w:rPr>
          <w:rFonts w:eastAsia="宋体"/>
          <w:kern w:val="0"/>
          <w:szCs w:val="20"/>
        </w:rPr>
        <w:t>，</w:t>
      </w:r>
      <w:r w:rsidRPr="008E2B3B">
        <w:rPr>
          <w:rFonts w:eastAsia="宋体"/>
          <w:kern w:val="0"/>
          <w:szCs w:val="20"/>
        </w:rPr>
        <w:t xml:space="preserve"> G. </w:t>
      </w:r>
      <w:r w:rsidRPr="008E2B3B">
        <w:rPr>
          <w:rFonts w:eastAsia="宋体"/>
          <w:kern w:val="0"/>
          <w:szCs w:val="20"/>
        </w:rPr>
        <w:t>和杜尔森，</w:t>
      </w:r>
      <w:r w:rsidRPr="008E2B3B">
        <w:rPr>
          <w:rFonts w:eastAsia="宋体"/>
          <w:kern w:val="0"/>
          <w:szCs w:val="20"/>
        </w:rPr>
        <w:t xml:space="preserve"> M.</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儿童和成人对化学毒性的敏感性差异</w:t>
      </w:r>
      <w:r w:rsidRPr="008E2B3B">
        <w:rPr>
          <w:rFonts w:eastAsia="宋体"/>
          <w:kern w:val="0"/>
          <w:szCs w:val="20"/>
        </w:rPr>
        <w:t xml:space="preserve">.I. </w:t>
      </w:r>
      <w:r w:rsidRPr="008E2B3B">
        <w:rPr>
          <w:rFonts w:eastAsia="宋体"/>
          <w:kern w:val="0"/>
          <w:szCs w:val="20"/>
        </w:rPr>
        <w:t>生物基础，</w:t>
      </w:r>
      <w:r w:rsidRPr="008E2B3B">
        <w:rPr>
          <w:rFonts w:eastAsia="宋体"/>
          <w:kern w:val="0"/>
          <w:szCs w:val="20"/>
        </w:rPr>
        <w:t>"</w:t>
      </w:r>
      <w:r w:rsidRPr="008E2B3B">
        <w:rPr>
          <w:rFonts w:eastAsia="宋体"/>
          <w:kern w:val="0"/>
          <w:szCs w:val="20"/>
        </w:rPr>
        <w:t>雷古尔毒药学，第</w:t>
      </w:r>
      <w:r w:rsidRPr="008E2B3B">
        <w:rPr>
          <w:rFonts w:eastAsia="宋体"/>
          <w:kern w:val="0"/>
          <w:szCs w:val="20"/>
        </w:rPr>
        <w:t>35</w:t>
      </w:r>
      <w:r w:rsidRPr="008E2B3B">
        <w:rPr>
          <w:rFonts w:eastAsia="宋体"/>
          <w:kern w:val="0"/>
          <w:szCs w:val="20"/>
        </w:rPr>
        <w:t>卷，第</w:t>
      </w:r>
      <w:r w:rsidRPr="008E2B3B">
        <w:rPr>
          <w:rFonts w:eastAsia="宋体"/>
          <w:kern w:val="0"/>
          <w:szCs w:val="20"/>
        </w:rPr>
        <w:t>3</w:t>
      </w:r>
      <w:r w:rsidRPr="008E2B3B">
        <w:rPr>
          <w:rFonts w:eastAsia="宋体"/>
          <w:kern w:val="0"/>
          <w:szCs w:val="20"/>
        </w:rPr>
        <w:t>号，</w:t>
      </w:r>
      <w:r w:rsidRPr="008E2B3B">
        <w:rPr>
          <w:rFonts w:eastAsia="宋体"/>
          <w:kern w:val="0"/>
          <w:szCs w:val="20"/>
        </w:rPr>
        <w:t>2002</w:t>
      </w:r>
      <w:r w:rsidRPr="008E2B3B">
        <w:rPr>
          <w:rFonts w:eastAsia="宋体"/>
          <w:kern w:val="0"/>
          <w:szCs w:val="20"/>
        </w:rPr>
        <w:t>年，第</w:t>
      </w:r>
      <w:r w:rsidRPr="008E2B3B">
        <w:rPr>
          <w:rFonts w:eastAsia="宋体"/>
          <w:kern w:val="0"/>
          <w:szCs w:val="20"/>
        </w:rPr>
        <w:t>429-447</w:t>
      </w:r>
      <w:r w:rsidRPr="008E2B3B">
        <w:rPr>
          <w:rFonts w:eastAsia="宋体"/>
          <w:kern w:val="0"/>
          <w:szCs w:val="20"/>
        </w:rPr>
        <w:t>页。</w:t>
      </w:r>
    </w:p>
    <w:p w14:paraId="5808F86A"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86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希尔默，</w:t>
      </w:r>
      <w:r w:rsidRPr="008E2B3B">
        <w:rPr>
          <w:rFonts w:eastAsia="宋体"/>
          <w:kern w:val="0"/>
          <w:szCs w:val="20"/>
        </w:rPr>
        <w:t>S.N.</w:t>
      </w:r>
      <w:r w:rsidRPr="008E2B3B">
        <w:rPr>
          <w:rFonts w:eastAsia="宋体"/>
          <w:kern w:val="0"/>
          <w:szCs w:val="20"/>
        </w:rPr>
        <w:t>，</w:t>
      </w:r>
      <w:r w:rsidRPr="008E2B3B">
        <w:rPr>
          <w:rFonts w:eastAsia="宋体"/>
          <w:kern w:val="0"/>
          <w:szCs w:val="20"/>
        </w:rPr>
        <w:t>"</w:t>
      </w:r>
      <w:r w:rsidRPr="008E2B3B">
        <w:rPr>
          <w:rFonts w:eastAsia="宋体"/>
          <w:kern w:val="0"/>
          <w:szCs w:val="20"/>
        </w:rPr>
        <w:t>老年人的</w:t>
      </w:r>
      <w:r w:rsidRPr="008E2B3B">
        <w:rPr>
          <w:rFonts w:eastAsia="宋体"/>
          <w:kern w:val="0"/>
          <w:szCs w:val="20"/>
        </w:rPr>
        <w:t>ADME-</w:t>
      </w:r>
      <w:r w:rsidRPr="008E2B3B">
        <w:rPr>
          <w:rFonts w:eastAsia="宋体"/>
          <w:kern w:val="0"/>
          <w:szCs w:val="20"/>
        </w:rPr>
        <w:t>毒力问题</w:t>
      </w:r>
      <w:r w:rsidRPr="008E2B3B">
        <w:rPr>
          <w:rFonts w:eastAsia="宋体"/>
          <w:kern w:val="0"/>
          <w:szCs w:val="20"/>
        </w:rPr>
        <w:t>"</w:t>
      </w:r>
      <w:r w:rsidRPr="008E2B3B">
        <w:rPr>
          <w:rFonts w:eastAsia="宋体"/>
          <w:kern w:val="0"/>
          <w:szCs w:val="20"/>
        </w:rPr>
        <w:t>，专家鸦片药物甲毒药物，第</w:t>
      </w:r>
      <w:r w:rsidRPr="008E2B3B">
        <w:rPr>
          <w:rFonts w:eastAsia="宋体"/>
          <w:kern w:val="0"/>
          <w:szCs w:val="20"/>
        </w:rPr>
        <w:t>4</w:t>
      </w:r>
      <w:r w:rsidRPr="008E2B3B">
        <w:rPr>
          <w:rFonts w:eastAsia="宋体"/>
          <w:kern w:val="0"/>
          <w:szCs w:val="20"/>
        </w:rPr>
        <w:t>卷，第</w:t>
      </w:r>
      <w:r w:rsidRPr="008E2B3B">
        <w:rPr>
          <w:rFonts w:eastAsia="宋体"/>
          <w:kern w:val="0"/>
          <w:szCs w:val="20"/>
        </w:rPr>
        <w:t>10</w:t>
      </w:r>
      <w:r w:rsidRPr="008E2B3B">
        <w:rPr>
          <w:rFonts w:eastAsia="宋体"/>
          <w:kern w:val="0"/>
          <w:szCs w:val="20"/>
        </w:rPr>
        <w:t>号，</w:t>
      </w:r>
      <w:r w:rsidRPr="008E2B3B">
        <w:rPr>
          <w:rFonts w:eastAsia="宋体"/>
          <w:kern w:val="0"/>
          <w:szCs w:val="20"/>
        </w:rPr>
        <w:t>2008</w:t>
      </w:r>
      <w:r w:rsidRPr="008E2B3B">
        <w:rPr>
          <w:rFonts w:eastAsia="宋体"/>
          <w:kern w:val="0"/>
          <w:szCs w:val="20"/>
        </w:rPr>
        <w:t>年，第</w:t>
      </w:r>
      <w:r w:rsidRPr="008E2B3B">
        <w:rPr>
          <w:rFonts w:eastAsia="宋体"/>
          <w:kern w:val="0"/>
          <w:szCs w:val="20"/>
        </w:rPr>
        <w:t>1321-1331</w:t>
      </w:r>
      <w:r w:rsidRPr="008E2B3B">
        <w:rPr>
          <w:rFonts w:eastAsia="宋体"/>
          <w:kern w:val="0"/>
          <w:szCs w:val="20"/>
        </w:rPr>
        <w:t>页。</w:t>
      </w:r>
    </w:p>
    <w:p w14:paraId="6B2EE54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87</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克莱威尔，</w:t>
      </w:r>
      <w:r w:rsidRPr="008E2B3B">
        <w:rPr>
          <w:rFonts w:eastAsia="宋体"/>
          <w:kern w:val="0"/>
          <w:szCs w:val="20"/>
        </w:rPr>
        <w:t xml:space="preserve"> R. A. </w:t>
      </w:r>
      <w:r w:rsidRPr="008E2B3B">
        <w:rPr>
          <w:rFonts w:eastAsia="宋体"/>
          <w:kern w:val="0"/>
          <w:szCs w:val="20"/>
        </w:rPr>
        <w:t>等人，</w:t>
      </w:r>
      <w:r w:rsidRPr="008E2B3B">
        <w:rPr>
          <w:rFonts w:eastAsia="宋体"/>
          <w:kern w:val="0"/>
          <w:szCs w:val="20"/>
        </w:rPr>
        <w:t xml:space="preserve">" </w:t>
      </w:r>
      <w:r w:rsidRPr="008E2B3B">
        <w:rPr>
          <w:rFonts w:eastAsia="宋体"/>
          <w:kern w:val="0"/>
          <w:szCs w:val="20"/>
        </w:rPr>
        <w:t>基于途径的毒理学和适合用途的测定</w:t>
      </w:r>
      <w:r w:rsidRPr="008E2B3B">
        <w:rPr>
          <w:rFonts w:eastAsia="宋体"/>
          <w:kern w:val="0"/>
          <w:szCs w:val="20"/>
        </w:rPr>
        <w:t xml:space="preserve">" </w:t>
      </w:r>
      <w:r w:rsidRPr="008E2B3B">
        <w:rPr>
          <w:rFonts w:eastAsia="宋体"/>
          <w:kern w:val="0"/>
          <w:szCs w:val="20"/>
        </w:rPr>
        <w:t>，</w:t>
      </w:r>
      <w:r w:rsidRPr="008E2B3B">
        <w:rPr>
          <w:rFonts w:eastAsia="宋体"/>
          <w:kern w:val="0"/>
          <w:szCs w:val="20"/>
        </w:rPr>
        <w:t xml:space="preserve"> Adv Exp Med Biol</w:t>
      </w:r>
      <w:r w:rsidRPr="008E2B3B">
        <w:rPr>
          <w:rFonts w:eastAsia="宋体"/>
          <w:kern w:val="0"/>
          <w:szCs w:val="20"/>
        </w:rPr>
        <w:t>，</w:t>
      </w:r>
      <w:r w:rsidRPr="008E2B3B">
        <w:rPr>
          <w:rFonts w:eastAsia="宋体"/>
          <w:kern w:val="0"/>
          <w:szCs w:val="20"/>
        </w:rPr>
        <w:t xml:space="preserve"> Vol 856</w:t>
      </w:r>
      <w:r w:rsidRPr="008E2B3B">
        <w:rPr>
          <w:rFonts w:eastAsia="宋体"/>
          <w:kern w:val="0"/>
          <w:szCs w:val="20"/>
        </w:rPr>
        <w:t>，</w:t>
      </w:r>
      <w:r w:rsidRPr="008E2B3B">
        <w:rPr>
          <w:rFonts w:eastAsia="宋体"/>
          <w:kern w:val="0"/>
          <w:szCs w:val="20"/>
        </w:rPr>
        <w:t xml:space="preserve"> 2016</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205-230 </w:t>
      </w:r>
      <w:r w:rsidRPr="008E2B3B">
        <w:rPr>
          <w:rFonts w:eastAsia="宋体"/>
          <w:kern w:val="0"/>
          <w:szCs w:val="20"/>
        </w:rPr>
        <w:t>页</w:t>
      </w:r>
      <w:r w:rsidRPr="008E2B3B">
        <w:rPr>
          <w:rFonts w:eastAsia="宋体"/>
          <w:kern w:val="0"/>
          <w:szCs w:val="20"/>
        </w:rPr>
        <w:t>.</w:t>
      </w:r>
    </w:p>
    <w:p w14:paraId="011ECEC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88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Mielke</w:t>
      </w:r>
      <w:r w:rsidRPr="008E2B3B">
        <w:rPr>
          <w:rFonts w:eastAsia="宋体"/>
          <w:kern w:val="0"/>
          <w:szCs w:val="20"/>
        </w:rPr>
        <w:t>，</w:t>
      </w:r>
      <w:r w:rsidRPr="008E2B3B">
        <w:rPr>
          <w:rFonts w:eastAsia="宋体"/>
          <w:kern w:val="0"/>
          <w:szCs w:val="20"/>
        </w:rPr>
        <w:t xml:space="preserve"> H.</w:t>
      </w:r>
      <w:r w:rsidRPr="008E2B3B">
        <w:rPr>
          <w:rFonts w:eastAsia="宋体"/>
          <w:kern w:val="0"/>
          <w:szCs w:val="20"/>
        </w:rPr>
        <w:t>等人，</w:t>
      </w:r>
      <w:r w:rsidRPr="008E2B3B">
        <w:rPr>
          <w:rFonts w:eastAsia="宋体"/>
          <w:kern w:val="0"/>
          <w:szCs w:val="20"/>
        </w:rPr>
        <w:t xml:space="preserve">" </w:t>
      </w:r>
      <w:r w:rsidRPr="008E2B3B">
        <w:rPr>
          <w:rFonts w:eastAsia="宋体"/>
          <w:kern w:val="0"/>
          <w:szCs w:val="20"/>
        </w:rPr>
        <w:t>蛋白质结合对体外外向外推</w:t>
      </w:r>
      <w:r w:rsidRPr="008E2B3B">
        <w:rPr>
          <w:rFonts w:eastAsia="宋体"/>
          <w:kern w:val="0"/>
          <w:szCs w:val="20"/>
        </w:rPr>
        <w:t xml:space="preserve"> </w:t>
      </w:r>
      <w:r w:rsidRPr="008E2B3B">
        <w:rPr>
          <w:rFonts w:eastAsia="宋体"/>
          <w:kern w:val="0"/>
          <w:szCs w:val="20"/>
        </w:rPr>
        <w:t>（</w:t>
      </w:r>
      <w:r w:rsidRPr="008E2B3B">
        <w:rPr>
          <w:rFonts w:eastAsia="宋体"/>
          <w:kern w:val="0"/>
          <w:szCs w:val="20"/>
        </w:rPr>
        <w:t>IVIVE</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的重要性</w:t>
      </w:r>
      <w:r w:rsidRPr="008E2B3B">
        <w:rPr>
          <w:rFonts w:eastAsia="宋体"/>
          <w:kern w:val="0"/>
          <w:szCs w:val="20"/>
        </w:rPr>
        <w:t xml:space="preserve"> - </w:t>
      </w:r>
      <w:r w:rsidRPr="008E2B3B">
        <w:rPr>
          <w:rFonts w:eastAsia="宋体"/>
          <w:kern w:val="0"/>
          <w:szCs w:val="20"/>
        </w:rPr>
        <w:t>布</w:t>
      </w:r>
      <w:proofErr w:type="gramStart"/>
      <w:r w:rsidRPr="008E2B3B">
        <w:rPr>
          <w:rFonts w:eastAsia="宋体"/>
          <w:kern w:val="0"/>
          <w:szCs w:val="20"/>
        </w:rPr>
        <w:t>洛</w:t>
      </w:r>
      <w:proofErr w:type="gramEnd"/>
      <w:r w:rsidRPr="008E2B3B">
        <w:rPr>
          <w:rFonts w:eastAsia="宋体"/>
          <w:kern w:val="0"/>
          <w:szCs w:val="20"/>
        </w:rPr>
        <w:t>芬，一种高蛋白结合物质的例子，</w:t>
      </w:r>
      <w:r w:rsidRPr="008E2B3B">
        <w:rPr>
          <w:rFonts w:eastAsia="宋体"/>
          <w:kern w:val="0"/>
          <w:szCs w:val="20"/>
        </w:rPr>
        <w:t xml:space="preserve">" Arch </w:t>
      </w:r>
      <w:r w:rsidRPr="008E2B3B">
        <w:rPr>
          <w:rFonts w:eastAsia="宋体"/>
          <w:kern w:val="0"/>
          <w:szCs w:val="20"/>
        </w:rPr>
        <w:t>毒理醇，</w:t>
      </w:r>
      <w:r w:rsidRPr="008E2B3B">
        <w:rPr>
          <w:rFonts w:eastAsia="宋体"/>
          <w:kern w:val="0"/>
          <w:szCs w:val="20"/>
        </w:rPr>
        <w:t xml:space="preserve"> Vol 91</w:t>
      </w:r>
      <w:r w:rsidRPr="008E2B3B">
        <w:rPr>
          <w:rFonts w:eastAsia="宋体"/>
          <w:kern w:val="0"/>
          <w:szCs w:val="20"/>
        </w:rPr>
        <w:t>，</w:t>
      </w:r>
      <w:r w:rsidRPr="008E2B3B">
        <w:rPr>
          <w:rFonts w:eastAsia="宋体"/>
          <w:kern w:val="0"/>
          <w:szCs w:val="20"/>
        </w:rPr>
        <w:t xml:space="preserve"> No. 2017</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1663-1670 </w:t>
      </w:r>
      <w:r w:rsidRPr="008E2B3B">
        <w:rPr>
          <w:rFonts w:eastAsia="宋体"/>
          <w:kern w:val="0"/>
          <w:szCs w:val="20"/>
        </w:rPr>
        <w:t>页</w:t>
      </w:r>
      <w:r w:rsidRPr="008E2B3B">
        <w:rPr>
          <w:rFonts w:eastAsia="宋体"/>
          <w:kern w:val="0"/>
          <w:szCs w:val="20"/>
        </w:rPr>
        <w:t>.</w:t>
      </w:r>
    </w:p>
    <w:p w14:paraId="15EF770C"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89</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将定量数据应用于为物种间和物种内部外推开发数据衍生外推因子的指南，美国环境保护署、科学顾问办公室、风险评估论坛，华盛顿特区，</w:t>
      </w:r>
      <w:r w:rsidRPr="008E2B3B">
        <w:rPr>
          <w:rFonts w:eastAsia="宋体"/>
          <w:kern w:val="0"/>
          <w:szCs w:val="20"/>
        </w:rPr>
        <w:t>2014</w:t>
      </w:r>
      <w:r w:rsidRPr="008E2B3B">
        <w:rPr>
          <w:rFonts w:eastAsia="宋体"/>
          <w:kern w:val="0"/>
          <w:szCs w:val="20"/>
        </w:rPr>
        <w:t>年。</w:t>
      </w:r>
    </w:p>
    <w:p w14:paraId="1EB6B72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90</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杜尔森，</w:t>
      </w:r>
      <w:r w:rsidRPr="008E2B3B">
        <w:rPr>
          <w:rFonts w:eastAsia="宋体"/>
          <w:kern w:val="0"/>
          <w:szCs w:val="20"/>
        </w:rPr>
        <w:t>M.</w:t>
      </w:r>
      <w:r w:rsidRPr="008E2B3B">
        <w:rPr>
          <w:rFonts w:eastAsia="宋体"/>
          <w:kern w:val="0"/>
          <w:szCs w:val="20"/>
        </w:rPr>
        <w:t>等人，</w:t>
      </w:r>
      <w:r w:rsidRPr="008E2B3B">
        <w:rPr>
          <w:rFonts w:eastAsia="宋体"/>
          <w:kern w:val="0"/>
          <w:szCs w:val="20"/>
        </w:rPr>
        <w:t>"</w:t>
      </w:r>
      <w:r w:rsidRPr="008E2B3B">
        <w:rPr>
          <w:rFonts w:eastAsia="宋体"/>
          <w:kern w:val="0"/>
          <w:szCs w:val="20"/>
        </w:rPr>
        <w:t>马龙可容忍摄入量：重新评价</w:t>
      </w:r>
      <w:proofErr w:type="gramStart"/>
      <w:r w:rsidRPr="008E2B3B">
        <w:rPr>
          <w:rFonts w:eastAsia="宋体"/>
          <w:kern w:val="0"/>
          <w:szCs w:val="20"/>
        </w:rPr>
        <w:t>毒碱学的</w:t>
      </w:r>
      <w:proofErr w:type="gramEnd"/>
      <w:r w:rsidRPr="008E2B3B">
        <w:rPr>
          <w:rFonts w:eastAsia="宋体"/>
          <w:kern w:val="0"/>
          <w:szCs w:val="20"/>
        </w:rPr>
        <w:t>数据衍生的不确定性因素，</w:t>
      </w:r>
      <w:r w:rsidRPr="008E2B3B">
        <w:rPr>
          <w:rFonts w:eastAsia="宋体"/>
          <w:kern w:val="0"/>
          <w:szCs w:val="20"/>
        </w:rPr>
        <w:t>"Biol Trace Elem Res</w:t>
      </w:r>
      <w:r w:rsidRPr="008E2B3B">
        <w:rPr>
          <w:rFonts w:eastAsia="宋体"/>
          <w:kern w:val="0"/>
          <w:szCs w:val="20"/>
        </w:rPr>
        <w:t>，第</w:t>
      </w:r>
      <w:r w:rsidRPr="008E2B3B">
        <w:rPr>
          <w:rFonts w:eastAsia="宋体"/>
          <w:kern w:val="0"/>
          <w:szCs w:val="20"/>
        </w:rPr>
        <w:t>66</w:t>
      </w:r>
      <w:r w:rsidRPr="008E2B3B">
        <w:rPr>
          <w:rFonts w:eastAsia="宋体"/>
          <w:kern w:val="0"/>
          <w:szCs w:val="20"/>
        </w:rPr>
        <w:t>卷，第</w:t>
      </w:r>
      <w:r w:rsidRPr="008E2B3B">
        <w:rPr>
          <w:rFonts w:eastAsia="宋体"/>
          <w:kern w:val="0"/>
          <w:szCs w:val="20"/>
        </w:rPr>
        <w:t>1-3</w:t>
      </w:r>
      <w:r w:rsidRPr="008E2B3B">
        <w:rPr>
          <w:rFonts w:eastAsia="宋体"/>
          <w:kern w:val="0"/>
          <w:szCs w:val="20"/>
        </w:rPr>
        <w:t>号，</w:t>
      </w:r>
      <w:r w:rsidRPr="008E2B3B">
        <w:rPr>
          <w:rFonts w:eastAsia="宋体"/>
          <w:kern w:val="0"/>
          <w:szCs w:val="20"/>
        </w:rPr>
        <w:t>1998</w:t>
      </w:r>
      <w:r w:rsidRPr="008E2B3B">
        <w:rPr>
          <w:rFonts w:eastAsia="宋体"/>
          <w:kern w:val="0"/>
          <w:szCs w:val="20"/>
        </w:rPr>
        <w:t>年，第</w:t>
      </w:r>
      <w:r w:rsidRPr="008E2B3B">
        <w:rPr>
          <w:rFonts w:eastAsia="宋体"/>
          <w:kern w:val="0"/>
          <w:szCs w:val="20"/>
        </w:rPr>
        <w:t>453-463</w:t>
      </w:r>
      <w:r w:rsidRPr="008E2B3B">
        <w:rPr>
          <w:rFonts w:eastAsia="宋体"/>
          <w:kern w:val="0"/>
          <w:szCs w:val="20"/>
        </w:rPr>
        <w:t>页。</w:t>
      </w:r>
    </w:p>
    <w:p w14:paraId="629DA740"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91</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EFSA</w:t>
      </w:r>
      <w:r w:rsidRPr="008E2B3B">
        <w:rPr>
          <w:rFonts w:eastAsia="宋体"/>
          <w:kern w:val="0"/>
          <w:szCs w:val="20"/>
        </w:rPr>
        <w:t>食品链污染物问题小组（</w:t>
      </w:r>
      <w:r w:rsidRPr="008E2B3B">
        <w:rPr>
          <w:rFonts w:eastAsia="宋体"/>
          <w:kern w:val="0"/>
          <w:szCs w:val="20"/>
        </w:rPr>
        <w:t>CONTAM</w:t>
      </w:r>
      <w:r w:rsidRPr="008E2B3B">
        <w:rPr>
          <w:rFonts w:eastAsia="宋体"/>
          <w:kern w:val="0"/>
          <w:szCs w:val="20"/>
        </w:rPr>
        <w:t>），</w:t>
      </w:r>
      <w:r w:rsidRPr="008E2B3B">
        <w:rPr>
          <w:rFonts w:eastAsia="宋体"/>
          <w:kern w:val="0"/>
          <w:szCs w:val="20"/>
        </w:rPr>
        <w:t>"</w:t>
      </w:r>
      <w:r w:rsidRPr="008E2B3B">
        <w:rPr>
          <w:rFonts w:eastAsia="宋体"/>
          <w:kern w:val="0"/>
          <w:szCs w:val="20"/>
        </w:rPr>
        <w:t>关于与食品中汞和甲基</w:t>
      </w:r>
      <w:proofErr w:type="gramStart"/>
      <w:r w:rsidRPr="008E2B3B">
        <w:rPr>
          <w:rFonts w:eastAsia="宋体"/>
          <w:kern w:val="0"/>
          <w:szCs w:val="20"/>
        </w:rPr>
        <w:t>汞存在</w:t>
      </w:r>
      <w:proofErr w:type="gramEnd"/>
      <w:r w:rsidRPr="008E2B3B">
        <w:rPr>
          <w:rFonts w:eastAsia="宋体"/>
          <w:kern w:val="0"/>
          <w:szCs w:val="20"/>
        </w:rPr>
        <w:t>有关的公共卫生风险的科学意见</w:t>
      </w:r>
      <w:r w:rsidRPr="008E2B3B">
        <w:rPr>
          <w:rFonts w:eastAsia="宋体"/>
          <w:kern w:val="0"/>
          <w:szCs w:val="20"/>
        </w:rPr>
        <w:t>"</w:t>
      </w:r>
      <w:r w:rsidRPr="008E2B3B">
        <w:rPr>
          <w:rFonts w:eastAsia="宋体"/>
          <w:kern w:val="0"/>
          <w:szCs w:val="20"/>
        </w:rPr>
        <w:t>，</w:t>
      </w:r>
      <w:r w:rsidRPr="008E2B3B">
        <w:rPr>
          <w:rFonts w:eastAsia="宋体"/>
          <w:kern w:val="0"/>
          <w:szCs w:val="20"/>
        </w:rPr>
        <w:t>EFSA J</w:t>
      </w:r>
      <w:r w:rsidRPr="008E2B3B">
        <w:rPr>
          <w:rFonts w:eastAsia="宋体"/>
          <w:kern w:val="0"/>
          <w:szCs w:val="20"/>
        </w:rPr>
        <w:t>，第</w:t>
      </w:r>
      <w:r w:rsidRPr="008E2B3B">
        <w:rPr>
          <w:rFonts w:eastAsia="宋体"/>
          <w:kern w:val="0"/>
          <w:szCs w:val="20"/>
        </w:rPr>
        <w:t>10</w:t>
      </w:r>
      <w:r w:rsidRPr="008E2B3B">
        <w:rPr>
          <w:rFonts w:eastAsia="宋体"/>
          <w:kern w:val="0"/>
          <w:szCs w:val="20"/>
        </w:rPr>
        <w:t>卷，</w:t>
      </w:r>
      <w:r w:rsidRPr="008E2B3B">
        <w:rPr>
          <w:rFonts w:eastAsia="宋体"/>
          <w:kern w:val="0"/>
          <w:szCs w:val="20"/>
        </w:rPr>
        <w:t>2012</w:t>
      </w:r>
      <w:r w:rsidRPr="008E2B3B">
        <w:rPr>
          <w:rFonts w:eastAsia="宋体"/>
          <w:kern w:val="0"/>
          <w:szCs w:val="20"/>
        </w:rPr>
        <w:t>年第</w:t>
      </w:r>
      <w:r w:rsidRPr="008E2B3B">
        <w:rPr>
          <w:rFonts w:eastAsia="宋体"/>
          <w:kern w:val="0"/>
          <w:szCs w:val="20"/>
        </w:rPr>
        <w:t>12</w:t>
      </w:r>
      <w:r w:rsidRPr="008E2B3B">
        <w:rPr>
          <w:rFonts w:eastAsia="宋体"/>
          <w:kern w:val="0"/>
          <w:szCs w:val="20"/>
        </w:rPr>
        <w:t>号。</w:t>
      </w:r>
    </w:p>
    <w:p w14:paraId="5526346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92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Poulin</w:t>
      </w:r>
      <w:r w:rsidRPr="008E2B3B">
        <w:rPr>
          <w:rFonts w:eastAsia="宋体"/>
          <w:kern w:val="0"/>
          <w:szCs w:val="20"/>
        </w:rPr>
        <w:t>、</w:t>
      </w:r>
      <w:r w:rsidRPr="008E2B3B">
        <w:rPr>
          <w:rFonts w:eastAsia="宋体"/>
          <w:kern w:val="0"/>
          <w:szCs w:val="20"/>
        </w:rPr>
        <w:t>P.</w:t>
      </w:r>
      <w:r w:rsidRPr="008E2B3B">
        <w:rPr>
          <w:rFonts w:eastAsia="宋体"/>
          <w:kern w:val="0"/>
          <w:szCs w:val="20"/>
        </w:rPr>
        <w:t>和</w:t>
      </w:r>
      <w:r w:rsidRPr="008E2B3B">
        <w:rPr>
          <w:rFonts w:eastAsia="宋体"/>
          <w:kern w:val="0"/>
          <w:szCs w:val="20"/>
        </w:rPr>
        <w:t>Arnett</w:t>
      </w:r>
      <w:r w:rsidRPr="008E2B3B">
        <w:rPr>
          <w:rFonts w:eastAsia="宋体"/>
          <w:kern w:val="0"/>
          <w:szCs w:val="20"/>
        </w:rPr>
        <w:t>，</w:t>
      </w:r>
      <w:r w:rsidRPr="008E2B3B">
        <w:rPr>
          <w:rFonts w:eastAsia="宋体"/>
          <w:kern w:val="0"/>
          <w:szCs w:val="20"/>
        </w:rPr>
        <w:t>R.</w:t>
      </w:r>
      <w:r w:rsidRPr="008E2B3B">
        <w:rPr>
          <w:rFonts w:eastAsia="宋体"/>
          <w:kern w:val="0"/>
          <w:szCs w:val="20"/>
        </w:rPr>
        <w:t>，</w:t>
      </w:r>
      <w:r w:rsidRPr="008E2B3B">
        <w:rPr>
          <w:rFonts w:eastAsia="宋体"/>
          <w:kern w:val="0"/>
          <w:szCs w:val="20"/>
        </w:rPr>
        <w:t>"</w:t>
      </w:r>
      <w:r w:rsidRPr="008E2B3B">
        <w:rPr>
          <w:rFonts w:eastAsia="宋体"/>
          <w:kern w:val="0"/>
          <w:szCs w:val="20"/>
        </w:rPr>
        <w:t>将血浆蛋白结合因子与化学特异性调整因子（</w:t>
      </w:r>
      <w:r w:rsidRPr="008E2B3B">
        <w:rPr>
          <w:rFonts w:eastAsia="宋体"/>
          <w:kern w:val="0"/>
          <w:szCs w:val="20"/>
        </w:rPr>
        <w:t>CSAF</w:t>
      </w:r>
      <w:r w:rsidRPr="008E2B3B">
        <w:rPr>
          <w:rFonts w:eastAsia="宋体"/>
          <w:kern w:val="0"/>
          <w:szCs w:val="20"/>
        </w:rPr>
        <w:t>）结合，以便利在得出活性药物成分的健康接触限值时估计物种间外推的不确定性：近期药物数据集调查，</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药理学，第</w:t>
      </w:r>
      <w:r w:rsidRPr="008E2B3B">
        <w:rPr>
          <w:rFonts w:eastAsia="宋体"/>
          <w:kern w:val="0"/>
          <w:szCs w:val="20"/>
        </w:rPr>
        <w:t>91</w:t>
      </w:r>
      <w:r w:rsidRPr="008E2B3B">
        <w:rPr>
          <w:rFonts w:eastAsia="宋体"/>
          <w:kern w:val="0"/>
          <w:szCs w:val="20"/>
        </w:rPr>
        <w:t>卷，</w:t>
      </w:r>
      <w:r w:rsidRPr="008E2B3B">
        <w:rPr>
          <w:rFonts w:eastAsia="宋体"/>
          <w:kern w:val="0"/>
          <w:szCs w:val="20"/>
        </w:rPr>
        <w:t>2017</w:t>
      </w:r>
      <w:r w:rsidRPr="008E2B3B">
        <w:rPr>
          <w:rFonts w:eastAsia="宋体"/>
          <w:kern w:val="0"/>
          <w:szCs w:val="20"/>
        </w:rPr>
        <w:t>年，第</w:t>
      </w:r>
      <w:r w:rsidRPr="008E2B3B">
        <w:rPr>
          <w:rFonts w:eastAsia="宋体"/>
          <w:kern w:val="0"/>
          <w:szCs w:val="20"/>
        </w:rPr>
        <w:t>142-150</w:t>
      </w:r>
      <w:r w:rsidRPr="008E2B3B">
        <w:rPr>
          <w:rFonts w:eastAsia="宋体"/>
          <w:kern w:val="0"/>
          <w:szCs w:val="20"/>
        </w:rPr>
        <w:t>页。</w:t>
      </w:r>
    </w:p>
    <w:p w14:paraId="35B53606"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93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布林克曼，</w:t>
      </w:r>
      <w:r w:rsidRPr="008E2B3B">
        <w:rPr>
          <w:rFonts w:eastAsia="宋体"/>
          <w:kern w:val="0"/>
          <w:szCs w:val="20"/>
        </w:rPr>
        <w:t xml:space="preserve"> M.</w:t>
      </w:r>
      <w:r w:rsidRPr="008E2B3B">
        <w:rPr>
          <w:rFonts w:eastAsia="宋体"/>
          <w:kern w:val="0"/>
          <w:szCs w:val="20"/>
        </w:rPr>
        <w:t>，</w:t>
      </w:r>
      <w:r w:rsidRPr="008E2B3B">
        <w:rPr>
          <w:rFonts w:eastAsia="宋体"/>
          <w:kern w:val="0"/>
          <w:szCs w:val="20"/>
        </w:rPr>
        <w:t xml:space="preserve"> Preuss</w:t>
      </w:r>
      <w:r w:rsidRPr="008E2B3B">
        <w:rPr>
          <w:rFonts w:eastAsia="宋体"/>
          <w:kern w:val="0"/>
          <w:szCs w:val="20"/>
        </w:rPr>
        <w:t>，</w:t>
      </w:r>
      <w:r w:rsidRPr="008E2B3B">
        <w:rPr>
          <w:rFonts w:eastAsia="宋体"/>
          <w:kern w:val="0"/>
          <w:szCs w:val="20"/>
        </w:rPr>
        <w:t xml:space="preserve"> T. G. </w:t>
      </w:r>
      <w:r w:rsidRPr="008E2B3B">
        <w:rPr>
          <w:rFonts w:eastAsia="宋体"/>
          <w:kern w:val="0"/>
          <w:szCs w:val="20"/>
        </w:rPr>
        <w:t>和霍勒特，</w:t>
      </w:r>
      <w:r w:rsidRPr="008E2B3B">
        <w:rPr>
          <w:rFonts w:eastAsia="宋体"/>
          <w:kern w:val="0"/>
          <w:szCs w:val="20"/>
        </w:rPr>
        <w:t xml:space="preserve"> H.</w:t>
      </w:r>
      <w:r w:rsidRPr="008E2B3B">
        <w:rPr>
          <w:rFonts w:eastAsia="宋体"/>
          <w:kern w:val="0"/>
          <w:szCs w:val="20"/>
        </w:rPr>
        <w:t>，</w:t>
      </w:r>
      <w:r w:rsidRPr="008E2B3B">
        <w:rPr>
          <w:rFonts w:eastAsia="宋体"/>
          <w:kern w:val="0"/>
          <w:szCs w:val="20"/>
        </w:rPr>
        <w:t xml:space="preserve"> "</w:t>
      </w:r>
      <w:r w:rsidRPr="008E2B3B">
        <w:rPr>
          <w:rFonts w:eastAsia="宋体"/>
          <w:kern w:val="0"/>
          <w:szCs w:val="20"/>
        </w:rPr>
        <w:t>通过毒理动力学建模促进机理</w:t>
      </w:r>
      <w:r w:rsidRPr="008E2B3B">
        <w:rPr>
          <w:rFonts w:eastAsia="宋体"/>
          <w:kern w:val="0"/>
          <w:szCs w:val="20"/>
        </w:rPr>
        <w:t xml:space="preserve">- </w:t>
      </w:r>
      <w:r w:rsidRPr="008E2B3B">
        <w:rPr>
          <w:rFonts w:eastAsia="宋体"/>
          <w:kern w:val="0"/>
          <w:szCs w:val="20"/>
        </w:rPr>
        <w:t>特定毒性</w:t>
      </w:r>
      <w:r w:rsidRPr="008E2B3B">
        <w:rPr>
          <w:rFonts w:eastAsia="宋体"/>
          <w:kern w:val="0"/>
          <w:szCs w:val="20"/>
        </w:rPr>
        <w:lastRenderedPageBreak/>
        <w:t>数据的振动内模型</w:t>
      </w:r>
      <w:r w:rsidRPr="008E2B3B">
        <w:rPr>
          <w:rFonts w:eastAsia="宋体"/>
          <w:kern w:val="0"/>
          <w:szCs w:val="20"/>
        </w:rPr>
        <w:t>"</w:t>
      </w:r>
      <w:r w:rsidRPr="008E2B3B">
        <w:rPr>
          <w:rFonts w:eastAsia="宋体"/>
          <w:kern w:val="0"/>
          <w:szCs w:val="20"/>
        </w:rPr>
        <w:t>，</w:t>
      </w:r>
      <w:r w:rsidRPr="008E2B3B">
        <w:rPr>
          <w:rFonts w:eastAsia="宋体"/>
          <w:kern w:val="0"/>
          <w:szCs w:val="20"/>
        </w:rPr>
        <w:t xml:space="preserve"> Adv </w:t>
      </w:r>
      <w:proofErr w:type="spellStart"/>
      <w:r w:rsidRPr="008E2B3B">
        <w:rPr>
          <w:rFonts w:eastAsia="宋体"/>
          <w:kern w:val="0"/>
          <w:szCs w:val="20"/>
        </w:rPr>
        <w:t>Biochem</w:t>
      </w:r>
      <w:proofErr w:type="spellEnd"/>
      <w:r w:rsidRPr="008E2B3B">
        <w:rPr>
          <w:rFonts w:eastAsia="宋体"/>
          <w:kern w:val="0"/>
          <w:szCs w:val="20"/>
        </w:rPr>
        <w:t xml:space="preserve"> </w:t>
      </w:r>
      <w:proofErr w:type="spellStart"/>
      <w:r w:rsidRPr="008E2B3B">
        <w:rPr>
          <w:rFonts w:eastAsia="宋体"/>
          <w:kern w:val="0"/>
          <w:szCs w:val="20"/>
        </w:rPr>
        <w:t>Eng</w:t>
      </w:r>
      <w:proofErr w:type="spellEnd"/>
      <w:r w:rsidRPr="008E2B3B">
        <w:rPr>
          <w:rFonts w:eastAsia="宋体"/>
          <w:kern w:val="0"/>
          <w:szCs w:val="20"/>
        </w:rPr>
        <w:t xml:space="preserve"> </w:t>
      </w:r>
      <w:proofErr w:type="spellStart"/>
      <w:r w:rsidRPr="008E2B3B">
        <w:rPr>
          <w:rFonts w:eastAsia="宋体"/>
          <w:kern w:val="0"/>
          <w:szCs w:val="20"/>
        </w:rPr>
        <w:t>Biotechnol</w:t>
      </w:r>
      <w:proofErr w:type="spellEnd"/>
      <w:r w:rsidRPr="008E2B3B">
        <w:rPr>
          <w:rFonts w:eastAsia="宋体"/>
          <w:kern w:val="0"/>
          <w:szCs w:val="20"/>
        </w:rPr>
        <w:t>，</w:t>
      </w:r>
      <w:r w:rsidRPr="008E2B3B">
        <w:rPr>
          <w:rFonts w:eastAsia="宋体"/>
          <w:kern w:val="0"/>
          <w:szCs w:val="20"/>
        </w:rPr>
        <w:t xml:space="preserve"> Vol 157</w:t>
      </w:r>
      <w:r w:rsidRPr="008E2B3B">
        <w:rPr>
          <w:rFonts w:eastAsia="宋体"/>
          <w:kern w:val="0"/>
          <w:szCs w:val="20"/>
        </w:rPr>
        <w:t>，</w:t>
      </w:r>
      <w:r w:rsidRPr="008E2B3B">
        <w:rPr>
          <w:rFonts w:eastAsia="宋体"/>
          <w:kern w:val="0"/>
          <w:szCs w:val="20"/>
        </w:rPr>
        <w:t xml:space="preserve"> 2017</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293-317 </w:t>
      </w:r>
      <w:r w:rsidRPr="008E2B3B">
        <w:rPr>
          <w:rFonts w:eastAsia="宋体"/>
          <w:kern w:val="0"/>
          <w:szCs w:val="20"/>
        </w:rPr>
        <w:t>页</w:t>
      </w:r>
      <w:r w:rsidRPr="008E2B3B">
        <w:rPr>
          <w:rFonts w:eastAsia="宋体"/>
          <w:kern w:val="0"/>
          <w:szCs w:val="20"/>
        </w:rPr>
        <w:t>.</w:t>
      </w:r>
    </w:p>
    <w:p w14:paraId="03E65F85"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94</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Strikwold</w:t>
      </w:r>
      <w:proofErr w:type="spellEnd"/>
      <w:r w:rsidRPr="008E2B3B">
        <w:rPr>
          <w:rFonts w:eastAsia="宋体"/>
          <w:kern w:val="0"/>
          <w:szCs w:val="20"/>
        </w:rPr>
        <w:t>，</w:t>
      </w:r>
      <w:r w:rsidRPr="008E2B3B">
        <w:rPr>
          <w:rFonts w:eastAsia="宋体"/>
          <w:kern w:val="0"/>
          <w:szCs w:val="20"/>
        </w:rPr>
        <w:t>M.</w:t>
      </w:r>
      <w:r w:rsidRPr="008E2B3B">
        <w:rPr>
          <w:rFonts w:eastAsia="宋体"/>
          <w:kern w:val="0"/>
          <w:szCs w:val="20"/>
        </w:rPr>
        <w:t>等人，</w:t>
      </w:r>
      <w:r w:rsidRPr="008E2B3B">
        <w:rPr>
          <w:rFonts w:eastAsia="宋体"/>
          <w:kern w:val="0"/>
          <w:szCs w:val="20"/>
        </w:rPr>
        <w:t>"</w:t>
      </w:r>
      <w:r w:rsidRPr="008E2B3B">
        <w:rPr>
          <w:rFonts w:eastAsia="宋体"/>
          <w:kern w:val="0"/>
          <w:szCs w:val="20"/>
        </w:rPr>
        <w:t>整合体外数据和基于生理的动力学（</w:t>
      </w:r>
      <w:r w:rsidRPr="008E2B3B">
        <w:rPr>
          <w:rFonts w:eastAsia="宋体"/>
          <w:kern w:val="0"/>
          <w:szCs w:val="20"/>
        </w:rPr>
        <w:t>PBK</w:t>
      </w:r>
      <w:r w:rsidRPr="008E2B3B">
        <w:rPr>
          <w:rFonts w:eastAsia="宋体"/>
          <w:kern w:val="0"/>
          <w:szCs w:val="20"/>
        </w:rPr>
        <w:t>）模型，以评估一系列苯酚的体内潜在发育毒性，</w:t>
      </w:r>
      <w:r w:rsidRPr="008E2B3B">
        <w:rPr>
          <w:rFonts w:eastAsia="宋体"/>
          <w:kern w:val="0"/>
          <w:szCs w:val="20"/>
        </w:rPr>
        <w:t>"</w:t>
      </w:r>
      <w:r w:rsidRPr="008E2B3B">
        <w:rPr>
          <w:rFonts w:eastAsia="宋体"/>
          <w:kern w:val="0"/>
          <w:szCs w:val="20"/>
        </w:rPr>
        <w:t>阿奇托索，第</w:t>
      </w:r>
      <w:r w:rsidRPr="008E2B3B">
        <w:rPr>
          <w:rFonts w:eastAsia="宋体"/>
          <w:kern w:val="0"/>
          <w:szCs w:val="20"/>
        </w:rPr>
        <w:t>91</w:t>
      </w:r>
      <w:r w:rsidRPr="008E2B3B">
        <w:rPr>
          <w:rFonts w:eastAsia="宋体"/>
          <w:kern w:val="0"/>
          <w:szCs w:val="20"/>
        </w:rPr>
        <w:t>卷，第</w:t>
      </w:r>
      <w:r w:rsidRPr="008E2B3B">
        <w:rPr>
          <w:rFonts w:eastAsia="宋体"/>
          <w:kern w:val="0"/>
          <w:szCs w:val="20"/>
        </w:rPr>
        <w:t>5</w:t>
      </w:r>
      <w:r w:rsidRPr="008E2B3B">
        <w:rPr>
          <w:rFonts w:eastAsia="宋体"/>
          <w:kern w:val="0"/>
          <w:szCs w:val="20"/>
        </w:rPr>
        <w:t>卷，</w:t>
      </w:r>
      <w:r w:rsidRPr="008E2B3B">
        <w:rPr>
          <w:rFonts w:eastAsia="宋体"/>
          <w:kern w:val="0"/>
          <w:szCs w:val="20"/>
        </w:rPr>
        <w:t>2017</w:t>
      </w:r>
      <w:r w:rsidRPr="008E2B3B">
        <w:rPr>
          <w:rFonts w:eastAsia="宋体"/>
          <w:kern w:val="0"/>
          <w:szCs w:val="20"/>
        </w:rPr>
        <w:t>年，第</w:t>
      </w:r>
      <w:r w:rsidRPr="008E2B3B">
        <w:rPr>
          <w:rFonts w:eastAsia="宋体"/>
          <w:kern w:val="0"/>
          <w:szCs w:val="20"/>
        </w:rPr>
        <w:t>2119-2133</w:t>
      </w:r>
      <w:r w:rsidRPr="008E2B3B">
        <w:rPr>
          <w:rFonts w:eastAsia="宋体"/>
          <w:kern w:val="0"/>
          <w:szCs w:val="20"/>
        </w:rPr>
        <w:t>页。</w:t>
      </w:r>
    </w:p>
    <w:p w14:paraId="37EB34E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95</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Wambaugh</w:t>
      </w:r>
      <w:proofErr w:type="spellEnd"/>
      <w:r w:rsidRPr="008E2B3B">
        <w:rPr>
          <w:rFonts w:eastAsia="宋体"/>
          <w:kern w:val="0"/>
          <w:szCs w:val="20"/>
        </w:rPr>
        <w:t>，</w:t>
      </w:r>
      <w:r w:rsidRPr="008E2B3B">
        <w:rPr>
          <w:rFonts w:eastAsia="宋体"/>
          <w:kern w:val="0"/>
          <w:szCs w:val="20"/>
        </w:rPr>
        <w:t xml:space="preserve"> J. F. </w:t>
      </w:r>
      <w:r w:rsidRPr="008E2B3B">
        <w:rPr>
          <w:rFonts w:eastAsia="宋体"/>
          <w:kern w:val="0"/>
          <w:szCs w:val="20"/>
        </w:rPr>
        <w:t>等人，</w:t>
      </w:r>
      <w:r w:rsidRPr="008E2B3B">
        <w:rPr>
          <w:rFonts w:eastAsia="宋体"/>
          <w:kern w:val="0"/>
          <w:szCs w:val="20"/>
        </w:rPr>
        <w:t xml:space="preserve">" </w:t>
      </w:r>
      <w:r w:rsidRPr="008E2B3B">
        <w:rPr>
          <w:rFonts w:eastAsia="宋体"/>
          <w:kern w:val="0"/>
          <w:szCs w:val="20"/>
        </w:rPr>
        <w:t>评估毒理剂的振动内振动外推</w:t>
      </w:r>
      <w:r w:rsidRPr="008E2B3B">
        <w:rPr>
          <w:rFonts w:eastAsia="宋体"/>
          <w:kern w:val="0"/>
          <w:szCs w:val="20"/>
        </w:rPr>
        <w:t>"</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毒理醇科学，</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163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 </w:t>
      </w:r>
      <w:r w:rsidRPr="008E2B3B">
        <w:rPr>
          <w:rFonts w:eastAsia="宋体"/>
          <w:kern w:val="0"/>
          <w:szCs w:val="20"/>
        </w:rPr>
        <w:t>号，</w:t>
      </w:r>
      <w:r w:rsidRPr="008E2B3B">
        <w:rPr>
          <w:rFonts w:eastAsia="宋体"/>
          <w:kern w:val="0"/>
          <w:szCs w:val="20"/>
        </w:rPr>
        <w:t xml:space="preserve"> 2018 </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152-169 </w:t>
      </w:r>
      <w:r w:rsidRPr="008E2B3B">
        <w:rPr>
          <w:rFonts w:eastAsia="宋体"/>
          <w:kern w:val="0"/>
          <w:szCs w:val="20"/>
        </w:rPr>
        <w:t>页。</w:t>
      </w:r>
    </w:p>
    <w:p w14:paraId="5559559D"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96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Dirks</w:t>
      </w:r>
      <w:r w:rsidRPr="008E2B3B">
        <w:rPr>
          <w:rFonts w:eastAsia="宋体"/>
          <w:kern w:val="0"/>
          <w:szCs w:val="20"/>
        </w:rPr>
        <w:t>，</w:t>
      </w:r>
      <w:r w:rsidRPr="008E2B3B">
        <w:rPr>
          <w:rFonts w:eastAsia="宋体"/>
          <w:kern w:val="0"/>
          <w:szCs w:val="20"/>
        </w:rPr>
        <w:t xml:space="preserve"> N. L. </w:t>
      </w:r>
      <w:r w:rsidRPr="008E2B3B">
        <w:rPr>
          <w:rFonts w:eastAsia="宋体"/>
          <w:kern w:val="0"/>
          <w:szCs w:val="20"/>
        </w:rPr>
        <w:t>和</w:t>
      </w:r>
      <w:r w:rsidRPr="008E2B3B">
        <w:rPr>
          <w:rFonts w:eastAsia="宋体"/>
          <w:kern w:val="0"/>
          <w:szCs w:val="20"/>
        </w:rPr>
        <w:t xml:space="preserve"> </w:t>
      </w:r>
      <w:proofErr w:type="spellStart"/>
      <w:r w:rsidRPr="008E2B3B">
        <w:rPr>
          <w:rFonts w:eastAsia="宋体"/>
          <w:kern w:val="0"/>
          <w:szCs w:val="20"/>
        </w:rPr>
        <w:t>Meibohm</w:t>
      </w:r>
      <w:proofErr w:type="spellEnd"/>
      <w:r w:rsidRPr="008E2B3B">
        <w:rPr>
          <w:rFonts w:eastAsia="宋体"/>
          <w:kern w:val="0"/>
          <w:szCs w:val="20"/>
        </w:rPr>
        <w:t>，</w:t>
      </w:r>
      <w:r w:rsidRPr="008E2B3B">
        <w:rPr>
          <w:rFonts w:eastAsia="宋体"/>
          <w:kern w:val="0"/>
          <w:szCs w:val="20"/>
        </w:rPr>
        <w:t xml:space="preserve"> B.</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治疗单克隆抗体的人口药代动力学</w:t>
      </w:r>
      <w:r w:rsidRPr="008E2B3B">
        <w:rPr>
          <w:rFonts w:eastAsia="宋体"/>
          <w:kern w:val="0"/>
          <w:szCs w:val="20"/>
        </w:rPr>
        <w:t>"</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克林药理学，</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49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10 </w:t>
      </w:r>
      <w:r w:rsidRPr="008E2B3B">
        <w:rPr>
          <w:rFonts w:eastAsia="宋体"/>
          <w:kern w:val="0"/>
          <w:szCs w:val="20"/>
        </w:rPr>
        <w:t>号，</w:t>
      </w:r>
      <w:r w:rsidRPr="008E2B3B">
        <w:rPr>
          <w:rFonts w:eastAsia="宋体"/>
          <w:kern w:val="0"/>
          <w:szCs w:val="20"/>
        </w:rPr>
        <w:t xml:space="preserve"> 2010 </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633-659 </w:t>
      </w:r>
      <w:r w:rsidRPr="008E2B3B">
        <w:rPr>
          <w:rFonts w:eastAsia="宋体"/>
          <w:kern w:val="0"/>
          <w:szCs w:val="20"/>
        </w:rPr>
        <w:t>页。</w:t>
      </w:r>
    </w:p>
    <w:p w14:paraId="5F363DC0"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97</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Edlund</w:t>
      </w:r>
      <w:proofErr w:type="spellEnd"/>
      <w:r w:rsidRPr="008E2B3B">
        <w:rPr>
          <w:rFonts w:eastAsia="宋体"/>
          <w:kern w:val="0"/>
          <w:szCs w:val="20"/>
        </w:rPr>
        <w:t>，</w:t>
      </w:r>
      <w:r w:rsidRPr="008E2B3B">
        <w:rPr>
          <w:rFonts w:eastAsia="宋体"/>
          <w:kern w:val="0"/>
          <w:szCs w:val="20"/>
        </w:rPr>
        <w:t xml:space="preserve"> H. </w:t>
      </w:r>
      <w:r w:rsidRPr="008E2B3B">
        <w:rPr>
          <w:rFonts w:eastAsia="宋体"/>
          <w:kern w:val="0"/>
          <w:szCs w:val="20"/>
        </w:rPr>
        <w:t>等人，</w:t>
      </w:r>
      <w:r w:rsidRPr="008E2B3B">
        <w:rPr>
          <w:rFonts w:eastAsia="宋体"/>
          <w:kern w:val="0"/>
          <w:szCs w:val="20"/>
        </w:rPr>
        <w:t>"</w:t>
      </w:r>
      <w:r w:rsidRPr="008E2B3B">
        <w:rPr>
          <w:rFonts w:eastAsia="宋体"/>
          <w:kern w:val="0"/>
          <w:szCs w:val="20"/>
        </w:rPr>
        <w:t>儿童单克隆抗体的药代动力学和药代动力学关系</w:t>
      </w:r>
      <w:r w:rsidRPr="008E2B3B">
        <w:rPr>
          <w:rFonts w:eastAsia="宋体"/>
          <w:kern w:val="0"/>
          <w:szCs w:val="20"/>
        </w:rPr>
        <w:t>"</w:t>
      </w:r>
      <w:r w:rsidRPr="008E2B3B">
        <w:rPr>
          <w:rFonts w:eastAsia="宋体"/>
          <w:kern w:val="0"/>
          <w:szCs w:val="20"/>
        </w:rPr>
        <w:t>，</w:t>
      </w:r>
      <w:r w:rsidRPr="008E2B3B">
        <w:rPr>
          <w:rFonts w:eastAsia="宋体"/>
          <w:kern w:val="0"/>
          <w:szCs w:val="20"/>
        </w:rPr>
        <w:t>"Clin</w:t>
      </w:r>
      <w:r w:rsidRPr="008E2B3B">
        <w:rPr>
          <w:rFonts w:eastAsia="宋体"/>
          <w:kern w:val="0"/>
          <w:szCs w:val="20"/>
        </w:rPr>
        <w:t>药理金，第</w:t>
      </w:r>
      <w:r w:rsidRPr="008E2B3B">
        <w:rPr>
          <w:rFonts w:eastAsia="宋体"/>
          <w:kern w:val="0"/>
          <w:szCs w:val="20"/>
        </w:rPr>
        <w:t>54</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2015</w:t>
      </w:r>
      <w:r w:rsidRPr="008E2B3B">
        <w:rPr>
          <w:rFonts w:eastAsia="宋体"/>
          <w:kern w:val="0"/>
          <w:szCs w:val="20"/>
        </w:rPr>
        <w:t>年，第</w:t>
      </w:r>
      <w:r w:rsidRPr="008E2B3B">
        <w:rPr>
          <w:rFonts w:eastAsia="宋体"/>
          <w:kern w:val="0"/>
          <w:szCs w:val="20"/>
        </w:rPr>
        <w:t>35-80</w:t>
      </w:r>
      <w:r w:rsidRPr="008E2B3B">
        <w:rPr>
          <w:rFonts w:eastAsia="宋体"/>
          <w:kern w:val="0"/>
          <w:szCs w:val="20"/>
        </w:rPr>
        <w:t>页。</w:t>
      </w:r>
    </w:p>
    <w:p w14:paraId="3EEBE729"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98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Tabrizi</w:t>
      </w:r>
      <w:r w:rsidRPr="008E2B3B">
        <w:rPr>
          <w:rFonts w:eastAsia="宋体"/>
          <w:kern w:val="0"/>
          <w:szCs w:val="20"/>
        </w:rPr>
        <w:t>，</w:t>
      </w:r>
      <w:r w:rsidRPr="008E2B3B">
        <w:rPr>
          <w:rFonts w:eastAsia="宋体"/>
          <w:kern w:val="0"/>
          <w:szCs w:val="20"/>
        </w:rPr>
        <w:t xml:space="preserve"> M.</w:t>
      </w:r>
      <w:r w:rsidRPr="008E2B3B">
        <w:rPr>
          <w:rFonts w:eastAsia="宋体"/>
          <w:kern w:val="0"/>
          <w:szCs w:val="20"/>
        </w:rPr>
        <w:t>，</w:t>
      </w:r>
      <w:r w:rsidRPr="008E2B3B">
        <w:rPr>
          <w:rFonts w:eastAsia="宋体"/>
          <w:kern w:val="0"/>
          <w:szCs w:val="20"/>
        </w:rPr>
        <w:t xml:space="preserve"> Bornstein</w:t>
      </w:r>
      <w:r w:rsidRPr="008E2B3B">
        <w:rPr>
          <w:rFonts w:eastAsia="宋体"/>
          <w:kern w:val="0"/>
          <w:szCs w:val="20"/>
        </w:rPr>
        <w:t>，</w:t>
      </w:r>
      <w:r w:rsidRPr="008E2B3B">
        <w:rPr>
          <w:rFonts w:eastAsia="宋体"/>
          <w:kern w:val="0"/>
          <w:szCs w:val="20"/>
        </w:rPr>
        <w:t xml:space="preserve"> G. G. </w:t>
      </w:r>
      <w:r w:rsidRPr="008E2B3B">
        <w:rPr>
          <w:rFonts w:eastAsia="宋体"/>
          <w:kern w:val="0"/>
          <w:szCs w:val="20"/>
        </w:rPr>
        <w:t>和</w:t>
      </w:r>
      <w:r w:rsidRPr="008E2B3B">
        <w:rPr>
          <w:rFonts w:eastAsia="宋体"/>
          <w:kern w:val="0"/>
          <w:szCs w:val="20"/>
        </w:rPr>
        <w:t>Suria</w:t>
      </w:r>
      <w:r w:rsidRPr="008E2B3B">
        <w:rPr>
          <w:rFonts w:eastAsia="宋体"/>
          <w:kern w:val="0"/>
          <w:szCs w:val="20"/>
        </w:rPr>
        <w:t>，</w:t>
      </w:r>
      <w:r w:rsidRPr="008E2B3B">
        <w:rPr>
          <w:rFonts w:eastAsia="宋体"/>
          <w:kern w:val="0"/>
          <w:szCs w:val="20"/>
        </w:rPr>
        <w:t xml:space="preserve"> H.</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治疗性单克隆抗体在健康和疾病中的生物分配机制，</w:t>
      </w:r>
      <w:r w:rsidRPr="008E2B3B">
        <w:rPr>
          <w:rFonts w:eastAsia="宋体"/>
          <w:kern w:val="0"/>
          <w:szCs w:val="20"/>
        </w:rPr>
        <w:t>"AAPS J</w:t>
      </w:r>
      <w:r w:rsidRPr="008E2B3B">
        <w:rPr>
          <w:rFonts w:eastAsia="宋体"/>
          <w:kern w:val="0"/>
          <w:szCs w:val="20"/>
        </w:rPr>
        <w:t>，第</w:t>
      </w:r>
      <w:r w:rsidRPr="008E2B3B">
        <w:rPr>
          <w:rFonts w:eastAsia="宋体"/>
          <w:kern w:val="0"/>
          <w:szCs w:val="20"/>
        </w:rPr>
        <w:t>12</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2010</w:t>
      </w:r>
      <w:r w:rsidRPr="008E2B3B">
        <w:rPr>
          <w:rFonts w:eastAsia="宋体"/>
          <w:kern w:val="0"/>
          <w:szCs w:val="20"/>
        </w:rPr>
        <w:t>年，第</w:t>
      </w:r>
      <w:r w:rsidRPr="008E2B3B">
        <w:rPr>
          <w:rFonts w:eastAsia="宋体"/>
          <w:kern w:val="0"/>
          <w:szCs w:val="20"/>
        </w:rPr>
        <w:t>33-43</w:t>
      </w:r>
      <w:r w:rsidRPr="008E2B3B">
        <w:rPr>
          <w:rFonts w:eastAsia="宋体"/>
          <w:kern w:val="0"/>
          <w:szCs w:val="20"/>
        </w:rPr>
        <w:t>页。</w:t>
      </w:r>
    </w:p>
    <w:p w14:paraId="7B0FE5C2"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99</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Ternant</w:t>
      </w:r>
      <w:proofErr w:type="spellEnd"/>
      <w:r w:rsidRPr="008E2B3B">
        <w:rPr>
          <w:rFonts w:eastAsia="宋体"/>
          <w:kern w:val="0"/>
          <w:szCs w:val="20"/>
        </w:rPr>
        <w:t>，</w:t>
      </w:r>
      <w:r w:rsidRPr="008E2B3B">
        <w:rPr>
          <w:rFonts w:eastAsia="宋体"/>
          <w:kern w:val="0"/>
          <w:szCs w:val="20"/>
        </w:rPr>
        <w:t xml:space="preserve"> D. </w:t>
      </w:r>
      <w:r w:rsidRPr="008E2B3B">
        <w:rPr>
          <w:rFonts w:eastAsia="宋体"/>
          <w:kern w:val="0"/>
          <w:szCs w:val="20"/>
        </w:rPr>
        <w:t>和</w:t>
      </w:r>
      <w:r w:rsidRPr="008E2B3B">
        <w:rPr>
          <w:rFonts w:eastAsia="宋体"/>
          <w:kern w:val="0"/>
          <w:szCs w:val="20"/>
        </w:rPr>
        <w:t xml:space="preserve"> </w:t>
      </w:r>
      <w:proofErr w:type="spellStart"/>
      <w:r w:rsidRPr="008E2B3B">
        <w:rPr>
          <w:rFonts w:eastAsia="宋体"/>
          <w:kern w:val="0"/>
          <w:szCs w:val="20"/>
        </w:rPr>
        <w:t>Paintaud</w:t>
      </w:r>
      <w:proofErr w:type="spellEnd"/>
      <w:r w:rsidRPr="008E2B3B">
        <w:rPr>
          <w:rFonts w:eastAsia="宋体"/>
          <w:kern w:val="0"/>
          <w:szCs w:val="20"/>
        </w:rPr>
        <w:t>，</w:t>
      </w:r>
      <w:r w:rsidRPr="008E2B3B">
        <w:rPr>
          <w:rFonts w:eastAsia="宋体"/>
          <w:kern w:val="0"/>
          <w:szCs w:val="20"/>
        </w:rPr>
        <w:t xml:space="preserve"> G.</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治疗性单克隆抗体和融合蛋白的药代动力学和浓度效应关系，</w:t>
      </w:r>
      <w:r w:rsidRPr="008E2B3B">
        <w:rPr>
          <w:rFonts w:eastAsia="宋体"/>
          <w:kern w:val="0"/>
          <w:szCs w:val="20"/>
        </w:rPr>
        <w:t xml:space="preserve">" </w:t>
      </w:r>
      <w:r w:rsidRPr="008E2B3B">
        <w:rPr>
          <w:rFonts w:eastAsia="宋体"/>
          <w:kern w:val="0"/>
          <w:szCs w:val="20"/>
        </w:rPr>
        <w:t>专家</w:t>
      </w:r>
      <w:r w:rsidRPr="008E2B3B">
        <w:rPr>
          <w:rFonts w:eastAsia="宋体"/>
          <w:kern w:val="0"/>
          <w:szCs w:val="20"/>
        </w:rPr>
        <w:t xml:space="preserve"> </w:t>
      </w:r>
      <w:proofErr w:type="spellStart"/>
      <w:r w:rsidRPr="008E2B3B">
        <w:rPr>
          <w:rFonts w:eastAsia="宋体"/>
          <w:kern w:val="0"/>
          <w:szCs w:val="20"/>
        </w:rPr>
        <w:t>Opin</w:t>
      </w:r>
      <w:proofErr w:type="spellEnd"/>
      <w:r w:rsidRPr="008E2B3B">
        <w:rPr>
          <w:rFonts w:eastAsia="宋体"/>
          <w:kern w:val="0"/>
          <w:szCs w:val="20"/>
        </w:rPr>
        <w:t xml:space="preserve"> Biol </w:t>
      </w:r>
      <w:proofErr w:type="spellStart"/>
      <w:r w:rsidRPr="008E2B3B">
        <w:rPr>
          <w:rFonts w:eastAsia="宋体"/>
          <w:kern w:val="0"/>
          <w:szCs w:val="20"/>
        </w:rPr>
        <w:t>Ther</w:t>
      </w:r>
      <w:proofErr w:type="spellEnd"/>
      <w:r w:rsidRPr="008E2B3B">
        <w:rPr>
          <w:rFonts w:eastAsia="宋体"/>
          <w:kern w:val="0"/>
          <w:szCs w:val="20"/>
        </w:rPr>
        <w:t>，</w:t>
      </w:r>
      <w:r w:rsidRPr="008E2B3B">
        <w:rPr>
          <w:rFonts w:eastAsia="宋体"/>
          <w:kern w:val="0"/>
          <w:szCs w:val="20"/>
        </w:rPr>
        <w:t xml:space="preserve"> Vol 5</w:t>
      </w:r>
      <w:r w:rsidRPr="008E2B3B">
        <w:rPr>
          <w:rFonts w:eastAsia="宋体"/>
          <w:kern w:val="0"/>
          <w:szCs w:val="20"/>
        </w:rPr>
        <w:t>，</w:t>
      </w:r>
      <w:r w:rsidRPr="008E2B3B">
        <w:rPr>
          <w:rFonts w:eastAsia="宋体"/>
          <w:kern w:val="0"/>
          <w:szCs w:val="20"/>
        </w:rPr>
        <w:t xml:space="preserve"> Suppl 1</w:t>
      </w:r>
      <w:r w:rsidRPr="008E2B3B">
        <w:rPr>
          <w:rFonts w:eastAsia="宋体"/>
          <w:kern w:val="0"/>
          <w:szCs w:val="20"/>
        </w:rPr>
        <w:t>，</w:t>
      </w:r>
      <w:r w:rsidRPr="008E2B3B">
        <w:rPr>
          <w:rFonts w:eastAsia="宋体"/>
          <w:kern w:val="0"/>
          <w:szCs w:val="20"/>
        </w:rPr>
        <w:t xml:space="preserve"> 2005</w:t>
      </w:r>
      <w:r w:rsidRPr="008E2B3B">
        <w:rPr>
          <w:rFonts w:eastAsia="宋体"/>
          <w:kern w:val="0"/>
          <w:szCs w:val="20"/>
        </w:rPr>
        <w:t>，</w:t>
      </w:r>
      <w:r w:rsidRPr="008E2B3B">
        <w:rPr>
          <w:rFonts w:eastAsia="宋体"/>
          <w:kern w:val="0"/>
          <w:szCs w:val="20"/>
        </w:rPr>
        <w:t xml:space="preserve"> pp. S37-S47.</w:t>
      </w:r>
    </w:p>
    <w:p w14:paraId="2BEE49D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100</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Khalil</w:t>
      </w:r>
      <w:r w:rsidRPr="008E2B3B">
        <w:rPr>
          <w:rFonts w:eastAsia="宋体"/>
          <w:kern w:val="0"/>
          <w:szCs w:val="20"/>
        </w:rPr>
        <w:t>，</w:t>
      </w:r>
      <w:r w:rsidRPr="008E2B3B">
        <w:rPr>
          <w:rFonts w:eastAsia="宋体"/>
          <w:kern w:val="0"/>
          <w:szCs w:val="20"/>
        </w:rPr>
        <w:t xml:space="preserve"> F. </w:t>
      </w:r>
      <w:r w:rsidRPr="008E2B3B">
        <w:rPr>
          <w:rFonts w:eastAsia="宋体"/>
          <w:kern w:val="0"/>
          <w:szCs w:val="20"/>
        </w:rPr>
        <w:t>和</w:t>
      </w:r>
      <w:proofErr w:type="spellStart"/>
      <w:r w:rsidRPr="008E2B3B">
        <w:rPr>
          <w:rFonts w:eastAsia="宋体"/>
          <w:kern w:val="0"/>
          <w:szCs w:val="20"/>
        </w:rPr>
        <w:t>Laer</w:t>
      </w:r>
      <w:proofErr w:type="spellEnd"/>
      <w:r w:rsidRPr="008E2B3B">
        <w:rPr>
          <w:rFonts w:eastAsia="宋体"/>
          <w:kern w:val="0"/>
          <w:szCs w:val="20"/>
        </w:rPr>
        <w:t>，</w:t>
      </w:r>
      <w:r w:rsidRPr="008E2B3B">
        <w:rPr>
          <w:rFonts w:eastAsia="宋体"/>
          <w:kern w:val="0"/>
          <w:szCs w:val="20"/>
        </w:rPr>
        <w:t xml:space="preserve"> S.</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基于生理学的药代动力学模型在预测口服药物暴露在整个儿科年龄范围</w:t>
      </w:r>
      <w:r w:rsidRPr="008E2B3B">
        <w:rPr>
          <w:rFonts w:eastAsia="宋体"/>
          <w:kern w:val="0"/>
          <w:szCs w:val="20"/>
        </w:rPr>
        <w:t xml:space="preserve">- </w:t>
      </w:r>
      <w:r w:rsidRPr="008E2B3B">
        <w:rPr>
          <w:rFonts w:eastAsia="宋体"/>
          <w:kern w:val="0"/>
          <w:szCs w:val="20"/>
        </w:rPr>
        <w:t>索塔</w:t>
      </w:r>
      <w:proofErr w:type="gramStart"/>
      <w:r w:rsidRPr="008E2B3B">
        <w:rPr>
          <w:rFonts w:eastAsia="宋体"/>
          <w:kern w:val="0"/>
          <w:szCs w:val="20"/>
        </w:rPr>
        <w:t>洛</w:t>
      </w:r>
      <w:proofErr w:type="gramEnd"/>
      <w:r w:rsidRPr="008E2B3B">
        <w:rPr>
          <w:rFonts w:eastAsia="宋体"/>
          <w:kern w:val="0"/>
          <w:szCs w:val="20"/>
        </w:rPr>
        <w:t>作为一种示范药物，</w:t>
      </w:r>
      <w:r w:rsidRPr="008E2B3B">
        <w:rPr>
          <w:rFonts w:eastAsia="宋体"/>
          <w:kern w:val="0"/>
          <w:szCs w:val="20"/>
        </w:rPr>
        <w:t>" AAPS J</w:t>
      </w:r>
      <w:r w:rsidRPr="008E2B3B">
        <w:rPr>
          <w:rFonts w:eastAsia="宋体"/>
          <w:kern w:val="0"/>
          <w:szCs w:val="20"/>
        </w:rPr>
        <w:t>，</w:t>
      </w:r>
      <w:r w:rsidRPr="008E2B3B">
        <w:rPr>
          <w:rFonts w:eastAsia="宋体"/>
          <w:kern w:val="0"/>
          <w:szCs w:val="20"/>
        </w:rPr>
        <w:t xml:space="preserve"> Vol 16</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2</w:t>
      </w:r>
      <w:r w:rsidRPr="008E2B3B">
        <w:rPr>
          <w:rFonts w:eastAsia="宋体"/>
          <w:kern w:val="0"/>
          <w:szCs w:val="20"/>
        </w:rPr>
        <w:t>号，</w:t>
      </w:r>
      <w:r w:rsidRPr="008E2B3B">
        <w:rPr>
          <w:rFonts w:eastAsia="宋体"/>
          <w:kern w:val="0"/>
          <w:szCs w:val="20"/>
        </w:rPr>
        <w:t xml:space="preserve"> 2014</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226-239</w:t>
      </w:r>
      <w:r w:rsidRPr="008E2B3B">
        <w:rPr>
          <w:rFonts w:eastAsia="宋体"/>
          <w:kern w:val="0"/>
          <w:szCs w:val="20"/>
        </w:rPr>
        <w:t>页</w:t>
      </w:r>
      <w:r w:rsidRPr="008E2B3B">
        <w:rPr>
          <w:rFonts w:eastAsia="宋体"/>
          <w:kern w:val="0"/>
          <w:szCs w:val="20"/>
        </w:rPr>
        <w:t>.</w:t>
      </w:r>
    </w:p>
    <w:p w14:paraId="6F92F15A"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101</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Areberg</w:t>
      </w:r>
      <w:proofErr w:type="spellEnd"/>
      <w:r w:rsidRPr="008E2B3B">
        <w:rPr>
          <w:rFonts w:eastAsia="宋体"/>
          <w:kern w:val="0"/>
          <w:szCs w:val="20"/>
        </w:rPr>
        <w:t>，</w:t>
      </w:r>
      <w:r w:rsidRPr="008E2B3B">
        <w:rPr>
          <w:rFonts w:eastAsia="宋体"/>
          <w:kern w:val="0"/>
          <w:szCs w:val="20"/>
        </w:rPr>
        <w:t xml:space="preserve"> J.</w:t>
      </w:r>
      <w:r w:rsidRPr="008E2B3B">
        <w:rPr>
          <w:rFonts w:eastAsia="宋体"/>
          <w:kern w:val="0"/>
          <w:szCs w:val="20"/>
        </w:rPr>
        <w:t>等人，</w:t>
      </w:r>
      <w:r w:rsidRPr="008E2B3B">
        <w:rPr>
          <w:rFonts w:eastAsia="宋体"/>
          <w:kern w:val="0"/>
          <w:szCs w:val="20"/>
        </w:rPr>
        <w:t>"</w:t>
      </w:r>
      <w:r w:rsidRPr="008E2B3B">
        <w:rPr>
          <w:rFonts w:eastAsia="宋体"/>
          <w:kern w:val="0"/>
          <w:szCs w:val="20"/>
        </w:rPr>
        <w:t>健康个体中</w:t>
      </w:r>
      <w:proofErr w:type="gramStart"/>
      <w:r w:rsidRPr="008E2B3B">
        <w:rPr>
          <w:rFonts w:eastAsia="宋体"/>
          <w:kern w:val="0"/>
          <w:szCs w:val="20"/>
        </w:rPr>
        <w:t>涡</w:t>
      </w:r>
      <w:proofErr w:type="gramEnd"/>
      <w:r w:rsidRPr="008E2B3B">
        <w:rPr>
          <w:rFonts w:eastAsia="宋体"/>
          <w:kern w:val="0"/>
          <w:szCs w:val="20"/>
        </w:rPr>
        <w:t>西</w:t>
      </w:r>
      <w:proofErr w:type="gramStart"/>
      <w:r w:rsidRPr="008E2B3B">
        <w:rPr>
          <w:rFonts w:eastAsia="宋体"/>
          <w:kern w:val="0"/>
          <w:szCs w:val="20"/>
        </w:rPr>
        <w:t>汀</w:t>
      </w:r>
      <w:proofErr w:type="gramEnd"/>
      <w:r w:rsidRPr="008E2B3B">
        <w:rPr>
          <w:rFonts w:eastAsia="宋体"/>
          <w:kern w:val="0"/>
          <w:szCs w:val="20"/>
        </w:rPr>
        <w:t>的人口药代动力学元分析</w:t>
      </w:r>
      <w:r w:rsidRPr="008E2B3B">
        <w:rPr>
          <w:rFonts w:eastAsia="宋体"/>
          <w:kern w:val="0"/>
          <w:szCs w:val="20"/>
        </w:rPr>
        <w:t>"</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基本克</w:t>
      </w:r>
      <w:proofErr w:type="gramEnd"/>
      <w:r w:rsidRPr="008E2B3B">
        <w:rPr>
          <w:rFonts w:eastAsia="宋体"/>
          <w:kern w:val="0"/>
          <w:szCs w:val="20"/>
        </w:rPr>
        <w:t>林药</w:t>
      </w:r>
      <w:proofErr w:type="gramStart"/>
      <w:r w:rsidRPr="008E2B3B">
        <w:rPr>
          <w:rFonts w:eastAsia="宋体"/>
          <w:kern w:val="0"/>
          <w:szCs w:val="20"/>
        </w:rPr>
        <w:t>胶毒醇</w:t>
      </w:r>
      <w:proofErr w:type="gramEnd"/>
      <w:r w:rsidRPr="008E2B3B">
        <w:rPr>
          <w:rFonts w:eastAsia="宋体"/>
          <w:kern w:val="0"/>
          <w:szCs w:val="20"/>
        </w:rPr>
        <w:t>，第</w:t>
      </w:r>
      <w:r w:rsidRPr="008E2B3B">
        <w:rPr>
          <w:rFonts w:eastAsia="宋体"/>
          <w:kern w:val="0"/>
          <w:szCs w:val="20"/>
        </w:rPr>
        <w:t>115</w:t>
      </w:r>
      <w:r w:rsidRPr="008E2B3B">
        <w:rPr>
          <w:rFonts w:eastAsia="宋体"/>
          <w:kern w:val="0"/>
          <w:szCs w:val="20"/>
        </w:rPr>
        <w:t>卷，第</w:t>
      </w:r>
      <w:r w:rsidRPr="008E2B3B">
        <w:rPr>
          <w:rFonts w:eastAsia="宋体"/>
          <w:kern w:val="0"/>
          <w:szCs w:val="20"/>
        </w:rPr>
        <w:t>6</w:t>
      </w:r>
      <w:r w:rsidRPr="008E2B3B">
        <w:rPr>
          <w:rFonts w:eastAsia="宋体"/>
          <w:kern w:val="0"/>
          <w:szCs w:val="20"/>
        </w:rPr>
        <w:t>号，</w:t>
      </w:r>
      <w:r w:rsidRPr="008E2B3B">
        <w:rPr>
          <w:rFonts w:eastAsia="宋体"/>
          <w:kern w:val="0"/>
          <w:szCs w:val="20"/>
        </w:rPr>
        <w:t>2014</w:t>
      </w:r>
      <w:r w:rsidRPr="008E2B3B">
        <w:rPr>
          <w:rFonts w:eastAsia="宋体"/>
          <w:kern w:val="0"/>
          <w:szCs w:val="20"/>
        </w:rPr>
        <w:t>年，第</w:t>
      </w:r>
      <w:r w:rsidRPr="008E2B3B">
        <w:rPr>
          <w:rFonts w:eastAsia="宋体"/>
          <w:kern w:val="0"/>
          <w:szCs w:val="20"/>
        </w:rPr>
        <w:t>552-559</w:t>
      </w:r>
      <w:r w:rsidRPr="008E2B3B">
        <w:rPr>
          <w:rFonts w:eastAsia="宋体"/>
          <w:kern w:val="0"/>
          <w:szCs w:val="20"/>
        </w:rPr>
        <w:t>页。</w:t>
      </w:r>
    </w:p>
    <w:p w14:paraId="7341F165"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102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Naik</w:t>
      </w:r>
      <w:r w:rsidRPr="008E2B3B">
        <w:rPr>
          <w:rFonts w:eastAsia="宋体"/>
          <w:kern w:val="0"/>
          <w:szCs w:val="20"/>
        </w:rPr>
        <w:t>、</w:t>
      </w:r>
      <w:r w:rsidRPr="008E2B3B">
        <w:rPr>
          <w:rFonts w:eastAsia="宋体"/>
          <w:kern w:val="0"/>
          <w:szCs w:val="20"/>
        </w:rPr>
        <w:t>H.</w:t>
      </w:r>
      <w:r w:rsidRPr="008E2B3B">
        <w:rPr>
          <w:rFonts w:eastAsia="宋体"/>
          <w:kern w:val="0"/>
          <w:szCs w:val="20"/>
        </w:rPr>
        <w:t>等人，</w:t>
      </w:r>
      <w:r w:rsidRPr="008E2B3B">
        <w:rPr>
          <w:rFonts w:eastAsia="宋体"/>
          <w:kern w:val="0"/>
          <w:szCs w:val="20"/>
        </w:rPr>
        <w:t>"</w:t>
      </w:r>
      <w:r w:rsidRPr="008E2B3B">
        <w:rPr>
          <w:rFonts w:eastAsia="宋体"/>
          <w:kern w:val="0"/>
          <w:szCs w:val="20"/>
        </w:rPr>
        <w:t>主要抑郁症患者</w:t>
      </w:r>
      <w:proofErr w:type="spellStart"/>
      <w:r w:rsidRPr="008E2B3B">
        <w:rPr>
          <w:rFonts w:eastAsia="宋体"/>
          <w:kern w:val="0"/>
          <w:szCs w:val="20"/>
        </w:rPr>
        <w:t>Vortioxetin</w:t>
      </w:r>
      <w:proofErr w:type="spellEnd"/>
      <w:r w:rsidRPr="008E2B3B">
        <w:rPr>
          <w:rFonts w:eastAsia="宋体"/>
          <w:kern w:val="0"/>
          <w:szCs w:val="20"/>
        </w:rPr>
        <w:t>的人口药理</w:t>
      </w:r>
      <w:r w:rsidRPr="008E2B3B">
        <w:rPr>
          <w:rFonts w:eastAsia="宋体"/>
          <w:kern w:val="0"/>
          <w:szCs w:val="20"/>
        </w:rPr>
        <w:t>-</w:t>
      </w:r>
      <w:r w:rsidRPr="008E2B3B">
        <w:rPr>
          <w:rFonts w:eastAsia="宋体"/>
          <w:kern w:val="0"/>
          <w:szCs w:val="20"/>
        </w:rPr>
        <w:t>药理元分析</w:t>
      </w:r>
      <w:r w:rsidRPr="008E2B3B">
        <w:rPr>
          <w:rFonts w:eastAsia="宋体"/>
          <w:kern w:val="0"/>
          <w:szCs w:val="20"/>
        </w:rPr>
        <w:t>"</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基本克</w:t>
      </w:r>
      <w:proofErr w:type="gramEnd"/>
      <w:r w:rsidRPr="008E2B3B">
        <w:rPr>
          <w:rFonts w:eastAsia="宋体"/>
          <w:kern w:val="0"/>
          <w:szCs w:val="20"/>
        </w:rPr>
        <w:t>林药胶毒剂，第</w:t>
      </w:r>
      <w:r w:rsidRPr="008E2B3B">
        <w:rPr>
          <w:rFonts w:eastAsia="宋体"/>
          <w:kern w:val="0"/>
          <w:szCs w:val="20"/>
        </w:rPr>
        <w:t>118</w:t>
      </w:r>
      <w:r w:rsidRPr="008E2B3B">
        <w:rPr>
          <w:rFonts w:eastAsia="宋体"/>
          <w:kern w:val="0"/>
          <w:szCs w:val="20"/>
        </w:rPr>
        <w:t>卷，第</w:t>
      </w:r>
      <w:r w:rsidRPr="008E2B3B">
        <w:rPr>
          <w:rFonts w:eastAsia="宋体"/>
          <w:kern w:val="0"/>
          <w:szCs w:val="20"/>
        </w:rPr>
        <w:t>5</w:t>
      </w:r>
      <w:r w:rsidRPr="008E2B3B">
        <w:rPr>
          <w:rFonts w:eastAsia="宋体"/>
          <w:kern w:val="0"/>
          <w:szCs w:val="20"/>
        </w:rPr>
        <w:t>号，</w:t>
      </w:r>
      <w:r w:rsidRPr="008E2B3B">
        <w:rPr>
          <w:rFonts w:eastAsia="宋体"/>
          <w:kern w:val="0"/>
          <w:szCs w:val="20"/>
        </w:rPr>
        <w:t>2016</w:t>
      </w:r>
      <w:r w:rsidRPr="008E2B3B">
        <w:rPr>
          <w:rFonts w:eastAsia="宋体"/>
          <w:kern w:val="0"/>
          <w:szCs w:val="20"/>
        </w:rPr>
        <w:t>年，第</w:t>
      </w:r>
      <w:r w:rsidRPr="008E2B3B">
        <w:rPr>
          <w:rFonts w:eastAsia="宋体"/>
          <w:kern w:val="0"/>
          <w:szCs w:val="20"/>
        </w:rPr>
        <w:t>344-355</w:t>
      </w:r>
      <w:r w:rsidRPr="008E2B3B">
        <w:rPr>
          <w:rFonts w:eastAsia="宋体"/>
          <w:kern w:val="0"/>
          <w:szCs w:val="20"/>
        </w:rPr>
        <w:t>页。</w:t>
      </w:r>
    </w:p>
    <w:p w14:paraId="43D69884"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103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陈，</w:t>
      </w:r>
      <w:r w:rsidRPr="008E2B3B">
        <w:rPr>
          <w:rFonts w:eastAsia="宋体"/>
          <w:kern w:val="0"/>
          <w:szCs w:val="20"/>
        </w:rPr>
        <w:t>P.</w:t>
      </w:r>
      <w:r w:rsidRPr="008E2B3B">
        <w:rPr>
          <w:rFonts w:eastAsia="宋体"/>
          <w:kern w:val="0"/>
          <w:szCs w:val="20"/>
        </w:rPr>
        <w:t>等人，</w:t>
      </w:r>
      <w:r w:rsidRPr="008E2B3B">
        <w:rPr>
          <w:rFonts w:eastAsia="宋体"/>
          <w:kern w:val="0"/>
          <w:szCs w:val="20"/>
        </w:rPr>
        <w:t>"</w:t>
      </w:r>
      <w:r w:rsidRPr="008E2B3B">
        <w:rPr>
          <w:rFonts w:eastAsia="宋体"/>
          <w:kern w:val="0"/>
          <w:szCs w:val="20"/>
        </w:rPr>
        <w:t>慢性肾脏疾病和</w:t>
      </w:r>
      <w:proofErr w:type="gramStart"/>
      <w:r w:rsidRPr="008E2B3B">
        <w:rPr>
          <w:rFonts w:eastAsia="宋体"/>
          <w:kern w:val="0"/>
          <w:szCs w:val="20"/>
        </w:rPr>
        <w:t>继发</w:t>
      </w:r>
      <w:proofErr w:type="gramEnd"/>
      <w:r w:rsidRPr="008E2B3B">
        <w:rPr>
          <w:rFonts w:eastAsia="宋体"/>
          <w:kern w:val="0"/>
          <w:szCs w:val="20"/>
        </w:rPr>
        <w:t>性胃动脉</w:t>
      </w:r>
      <w:proofErr w:type="gramStart"/>
      <w:r w:rsidRPr="008E2B3B">
        <w:rPr>
          <w:rFonts w:eastAsia="宋体"/>
          <w:kern w:val="0"/>
          <w:szCs w:val="20"/>
        </w:rPr>
        <w:t>减功能</w:t>
      </w:r>
      <w:proofErr w:type="gramEnd"/>
      <w:r w:rsidRPr="008E2B3B">
        <w:rPr>
          <w:rFonts w:eastAsia="宋体"/>
          <w:kern w:val="0"/>
          <w:szCs w:val="20"/>
        </w:rPr>
        <w:t>中钙化物的药代动力学和药理学，接受血液透析</w:t>
      </w:r>
      <w:r w:rsidRPr="008E2B3B">
        <w:rPr>
          <w:rFonts w:eastAsia="宋体"/>
          <w:kern w:val="0"/>
          <w:szCs w:val="20"/>
        </w:rPr>
        <w:t>"</w:t>
      </w:r>
      <w:r w:rsidRPr="008E2B3B">
        <w:rPr>
          <w:rFonts w:eastAsia="宋体"/>
          <w:kern w:val="0"/>
          <w:szCs w:val="20"/>
        </w:rPr>
        <w:t>，</w:t>
      </w:r>
      <w:r w:rsidRPr="008E2B3B">
        <w:rPr>
          <w:rFonts w:eastAsia="宋体"/>
          <w:kern w:val="0"/>
          <w:szCs w:val="20"/>
        </w:rPr>
        <w:t>CPT</w:t>
      </w:r>
      <w:r w:rsidRPr="008E2B3B">
        <w:rPr>
          <w:rFonts w:eastAsia="宋体"/>
          <w:kern w:val="0"/>
          <w:szCs w:val="20"/>
        </w:rPr>
        <w:t>药理学</w:t>
      </w:r>
      <w:r w:rsidRPr="008E2B3B">
        <w:rPr>
          <w:rFonts w:eastAsia="宋体"/>
          <w:kern w:val="0"/>
          <w:szCs w:val="20"/>
        </w:rPr>
        <w:t>Syst</w:t>
      </w:r>
      <w:r w:rsidRPr="008E2B3B">
        <w:rPr>
          <w:rFonts w:eastAsia="宋体"/>
          <w:kern w:val="0"/>
          <w:szCs w:val="20"/>
        </w:rPr>
        <w:t>药典，第</w:t>
      </w:r>
      <w:r w:rsidRPr="008E2B3B">
        <w:rPr>
          <w:rFonts w:eastAsia="宋体"/>
          <w:kern w:val="0"/>
          <w:szCs w:val="20"/>
        </w:rPr>
        <w:t>5</w:t>
      </w:r>
      <w:r w:rsidRPr="008E2B3B">
        <w:rPr>
          <w:rFonts w:eastAsia="宋体"/>
          <w:kern w:val="0"/>
          <w:szCs w:val="20"/>
        </w:rPr>
        <w:t>卷，第</w:t>
      </w:r>
      <w:r w:rsidRPr="008E2B3B">
        <w:rPr>
          <w:rFonts w:eastAsia="宋体"/>
          <w:kern w:val="0"/>
          <w:szCs w:val="20"/>
        </w:rPr>
        <w:t>9</w:t>
      </w:r>
      <w:r w:rsidRPr="008E2B3B">
        <w:rPr>
          <w:rFonts w:eastAsia="宋体"/>
          <w:kern w:val="0"/>
          <w:szCs w:val="20"/>
        </w:rPr>
        <w:t>号，</w:t>
      </w:r>
      <w:r w:rsidRPr="008E2B3B">
        <w:rPr>
          <w:rFonts w:eastAsia="宋体"/>
          <w:kern w:val="0"/>
          <w:szCs w:val="20"/>
        </w:rPr>
        <w:t>2016</w:t>
      </w:r>
      <w:r w:rsidRPr="008E2B3B">
        <w:rPr>
          <w:rFonts w:eastAsia="宋体"/>
          <w:kern w:val="0"/>
          <w:szCs w:val="20"/>
        </w:rPr>
        <w:t>年，第</w:t>
      </w:r>
      <w:r w:rsidRPr="008E2B3B">
        <w:rPr>
          <w:rFonts w:eastAsia="宋体"/>
          <w:kern w:val="0"/>
          <w:szCs w:val="20"/>
        </w:rPr>
        <w:t>484-494</w:t>
      </w:r>
      <w:r w:rsidRPr="008E2B3B">
        <w:rPr>
          <w:rFonts w:eastAsia="宋体"/>
          <w:kern w:val="0"/>
          <w:szCs w:val="20"/>
        </w:rPr>
        <w:t>页。</w:t>
      </w:r>
    </w:p>
    <w:p w14:paraId="1AA5DE4A"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104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Naumann</w:t>
      </w:r>
      <w:r w:rsidRPr="008E2B3B">
        <w:rPr>
          <w:rFonts w:eastAsia="宋体"/>
          <w:kern w:val="0"/>
          <w:szCs w:val="20"/>
        </w:rPr>
        <w:t>，</w:t>
      </w:r>
      <w:r w:rsidRPr="008E2B3B">
        <w:rPr>
          <w:rFonts w:eastAsia="宋体"/>
          <w:kern w:val="0"/>
          <w:szCs w:val="20"/>
        </w:rPr>
        <w:t>B.D.</w:t>
      </w:r>
      <w:r w:rsidRPr="008E2B3B">
        <w:rPr>
          <w:rFonts w:eastAsia="宋体"/>
          <w:kern w:val="0"/>
          <w:szCs w:val="20"/>
        </w:rPr>
        <w:t>等人，</w:t>
      </w:r>
      <w:r w:rsidRPr="008E2B3B">
        <w:rPr>
          <w:rFonts w:eastAsia="宋体"/>
          <w:kern w:val="0"/>
          <w:szCs w:val="20"/>
        </w:rPr>
        <w:t>"</w:t>
      </w:r>
      <w:r w:rsidRPr="008E2B3B">
        <w:rPr>
          <w:rFonts w:eastAsia="宋体"/>
          <w:kern w:val="0"/>
          <w:szCs w:val="20"/>
        </w:rPr>
        <w:t>分类数据衍生调整因素的案例研究</w:t>
      </w:r>
      <w:r w:rsidRPr="008E2B3B">
        <w:rPr>
          <w:rFonts w:eastAsia="宋体"/>
          <w:kern w:val="0"/>
          <w:szCs w:val="20"/>
        </w:rPr>
        <w:t>"</w:t>
      </w:r>
      <w:r w:rsidRPr="008E2B3B">
        <w:rPr>
          <w:rFonts w:eastAsia="宋体"/>
          <w:kern w:val="0"/>
          <w:szCs w:val="20"/>
        </w:rPr>
        <w:t>，人类生态风险评估，第</w:t>
      </w:r>
      <w:r w:rsidRPr="008E2B3B">
        <w:rPr>
          <w:rFonts w:eastAsia="宋体"/>
          <w:kern w:val="0"/>
          <w:szCs w:val="20"/>
        </w:rPr>
        <w:t>7</w:t>
      </w:r>
      <w:r w:rsidRPr="008E2B3B">
        <w:rPr>
          <w:rFonts w:eastAsia="宋体"/>
          <w:kern w:val="0"/>
          <w:szCs w:val="20"/>
        </w:rPr>
        <w:t>卷，</w:t>
      </w:r>
      <w:r w:rsidRPr="008E2B3B">
        <w:rPr>
          <w:rFonts w:eastAsia="宋体"/>
          <w:kern w:val="0"/>
          <w:szCs w:val="20"/>
        </w:rPr>
        <w:t>2001</w:t>
      </w:r>
      <w:r w:rsidRPr="008E2B3B">
        <w:rPr>
          <w:rFonts w:eastAsia="宋体"/>
          <w:kern w:val="0"/>
          <w:szCs w:val="20"/>
        </w:rPr>
        <w:t>年第</w:t>
      </w:r>
      <w:r w:rsidRPr="008E2B3B">
        <w:rPr>
          <w:rFonts w:eastAsia="宋体"/>
          <w:kern w:val="0"/>
          <w:szCs w:val="20"/>
        </w:rPr>
        <w:t>1</w:t>
      </w:r>
      <w:r w:rsidRPr="008E2B3B">
        <w:rPr>
          <w:rFonts w:eastAsia="宋体"/>
          <w:kern w:val="0"/>
          <w:szCs w:val="20"/>
        </w:rPr>
        <w:t>号，第</w:t>
      </w:r>
      <w:r w:rsidRPr="008E2B3B">
        <w:rPr>
          <w:rFonts w:eastAsia="宋体"/>
          <w:kern w:val="0"/>
          <w:szCs w:val="20"/>
        </w:rPr>
        <w:t>61-105</w:t>
      </w:r>
      <w:r w:rsidRPr="008E2B3B">
        <w:rPr>
          <w:rFonts w:eastAsia="宋体"/>
          <w:kern w:val="0"/>
          <w:szCs w:val="20"/>
        </w:rPr>
        <w:t>页。</w:t>
      </w:r>
    </w:p>
    <w:p w14:paraId="684D8AA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105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杜尔森，</w:t>
      </w:r>
      <w:r w:rsidRPr="008E2B3B">
        <w:rPr>
          <w:rFonts w:eastAsia="宋体"/>
          <w:kern w:val="0"/>
          <w:szCs w:val="20"/>
        </w:rPr>
        <w:t xml:space="preserve"> M. L.</w:t>
      </w:r>
      <w:r w:rsidRPr="008E2B3B">
        <w:rPr>
          <w:rFonts w:eastAsia="宋体"/>
          <w:kern w:val="0"/>
          <w:szCs w:val="20"/>
        </w:rPr>
        <w:t>，</w:t>
      </w:r>
      <w:r w:rsidRPr="008E2B3B">
        <w:rPr>
          <w:rFonts w:eastAsia="宋体"/>
          <w:kern w:val="0"/>
          <w:szCs w:val="20"/>
        </w:rPr>
        <w:t xml:space="preserve"> </w:t>
      </w:r>
      <w:r w:rsidRPr="008E2B3B">
        <w:rPr>
          <w:rFonts w:eastAsia="宋体"/>
          <w:kern w:val="0"/>
          <w:szCs w:val="20"/>
        </w:rPr>
        <w:t>费尔特，</w:t>
      </w:r>
      <w:r w:rsidRPr="008E2B3B">
        <w:rPr>
          <w:rFonts w:eastAsia="宋体"/>
          <w:kern w:val="0"/>
          <w:szCs w:val="20"/>
        </w:rPr>
        <w:t xml:space="preserve"> S. P. </w:t>
      </w:r>
      <w:r w:rsidRPr="008E2B3B">
        <w:rPr>
          <w:rFonts w:eastAsia="宋体"/>
          <w:kern w:val="0"/>
          <w:szCs w:val="20"/>
        </w:rPr>
        <w:t>和罗宾逊，</w:t>
      </w:r>
      <w:r w:rsidRPr="008E2B3B">
        <w:rPr>
          <w:rFonts w:eastAsia="宋体"/>
          <w:kern w:val="0"/>
          <w:szCs w:val="20"/>
        </w:rPr>
        <w:t xml:space="preserve"> D.</w:t>
      </w:r>
      <w:r w:rsidRPr="008E2B3B">
        <w:rPr>
          <w:rFonts w:eastAsia="宋体"/>
          <w:kern w:val="0"/>
          <w:szCs w:val="20"/>
        </w:rPr>
        <w:t>，</w:t>
      </w:r>
      <w:r w:rsidRPr="008E2B3B">
        <w:rPr>
          <w:rFonts w:eastAsia="宋体"/>
          <w:kern w:val="0"/>
          <w:szCs w:val="20"/>
        </w:rPr>
        <w:t xml:space="preserve"> "</w:t>
      </w:r>
      <w:r w:rsidRPr="008E2B3B">
        <w:rPr>
          <w:rFonts w:eastAsia="宋体"/>
          <w:kern w:val="0"/>
          <w:szCs w:val="20"/>
        </w:rPr>
        <w:t>非癌症风险评估中基于科学的不确定性因素的演变，</w:t>
      </w:r>
      <w:r w:rsidRPr="008E2B3B">
        <w:rPr>
          <w:rFonts w:eastAsia="宋体"/>
          <w:kern w:val="0"/>
          <w:szCs w:val="20"/>
        </w:rPr>
        <w:t>"</w:t>
      </w:r>
      <w:r w:rsidRPr="008E2B3B">
        <w:rPr>
          <w:rFonts w:eastAsia="宋体"/>
          <w:kern w:val="0"/>
          <w:szCs w:val="20"/>
        </w:rPr>
        <w:t>雷古尔毒醇药剂，</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24</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w:t>
      </w:r>
      <w:r w:rsidRPr="008E2B3B">
        <w:rPr>
          <w:rFonts w:eastAsia="宋体"/>
          <w:kern w:val="0"/>
          <w:szCs w:val="20"/>
        </w:rPr>
        <w:t>2 Pt 1</w:t>
      </w:r>
      <w:r w:rsidRPr="008E2B3B">
        <w:rPr>
          <w:rFonts w:eastAsia="宋体"/>
          <w:kern w:val="0"/>
          <w:szCs w:val="20"/>
        </w:rPr>
        <w:t>，</w:t>
      </w:r>
      <w:r w:rsidRPr="008E2B3B">
        <w:rPr>
          <w:rFonts w:eastAsia="宋体"/>
          <w:kern w:val="0"/>
          <w:szCs w:val="20"/>
        </w:rPr>
        <w:t xml:space="preserve"> 1996</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108-120</w:t>
      </w:r>
      <w:r w:rsidRPr="008E2B3B">
        <w:rPr>
          <w:rFonts w:eastAsia="宋体"/>
          <w:kern w:val="0"/>
          <w:szCs w:val="20"/>
        </w:rPr>
        <w:t>页</w:t>
      </w:r>
      <w:r w:rsidRPr="008E2B3B">
        <w:rPr>
          <w:rFonts w:eastAsia="宋体"/>
          <w:kern w:val="0"/>
          <w:szCs w:val="20"/>
        </w:rPr>
        <w:t>.</w:t>
      </w:r>
    </w:p>
    <w:p w14:paraId="01CD3DB4"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106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法里亚，</w:t>
      </w:r>
      <w:r w:rsidRPr="008E2B3B">
        <w:rPr>
          <w:rFonts w:eastAsia="宋体"/>
          <w:kern w:val="0"/>
          <w:szCs w:val="20"/>
        </w:rPr>
        <w:t>E.C.</w:t>
      </w:r>
      <w:r w:rsidRPr="008E2B3B">
        <w:rPr>
          <w:rFonts w:eastAsia="宋体"/>
          <w:kern w:val="0"/>
          <w:szCs w:val="20"/>
        </w:rPr>
        <w:t>等人，</w:t>
      </w:r>
      <w:r w:rsidRPr="008E2B3B">
        <w:rPr>
          <w:rFonts w:eastAsia="宋体"/>
          <w:kern w:val="0"/>
          <w:szCs w:val="20"/>
        </w:rPr>
        <w:t>"</w:t>
      </w:r>
      <w:r w:rsidRPr="008E2B3B">
        <w:rPr>
          <w:rFonts w:eastAsia="宋体"/>
          <w:kern w:val="0"/>
          <w:szCs w:val="20"/>
        </w:rPr>
        <w:t>使用默认方法得出可接受的每日暴露（</w:t>
      </w:r>
      <w:r w:rsidRPr="008E2B3B">
        <w:rPr>
          <w:rFonts w:eastAsia="宋体"/>
          <w:kern w:val="0"/>
          <w:szCs w:val="20"/>
        </w:rPr>
        <w:t>ADE</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药剂，第</w:t>
      </w:r>
      <w:r w:rsidRPr="008E2B3B">
        <w:rPr>
          <w:rFonts w:eastAsia="宋体"/>
          <w:kern w:val="0"/>
          <w:szCs w:val="20"/>
        </w:rPr>
        <w:t>79</w:t>
      </w:r>
      <w:r w:rsidRPr="008E2B3B">
        <w:rPr>
          <w:rFonts w:eastAsia="宋体"/>
          <w:kern w:val="0"/>
          <w:szCs w:val="20"/>
        </w:rPr>
        <w:t>卷，</w:t>
      </w:r>
      <w:r w:rsidRPr="008E2B3B">
        <w:rPr>
          <w:rFonts w:eastAsia="宋体"/>
          <w:kern w:val="0"/>
          <w:szCs w:val="20"/>
        </w:rPr>
        <w:t>Suppl 1</w:t>
      </w:r>
      <w:r w:rsidRPr="008E2B3B">
        <w:rPr>
          <w:rFonts w:eastAsia="宋体"/>
          <w:kern w:val="0"/>
          <w:szCs w:val="20"/>
        </w:rPr>
        <w:t>，</w:t>
      </w:r>
      <w:r w:rsidRPr="008E2B3B">
        <w:rPr>
          <w:rFonts w:eastAsia="宋体"/>
          <w:kern w:val="0"/>
          <w:szCs w:val="20"/>
        </w:rPr>
        <w:t>2016</w:t>
      </w:r>
      <w:r w:rsidRPr="008E2B3B">
        <w:rPr>
          <w:rFonts w:eastAsia="宋体"/>
          <w:kern w:val="0"/>
          <w:szCs w:val="20"/>
        </w:rPr>
        <w:t>年第</w:t>
      </w:r>
      <w:r w:rsidRPr="008E2B3B">
        <w:rPr>
          <w:rFonts w:eastAsia="宋体"/>
          <w:kern w:val="0"/>
          <w:szCs w:val="20"/>
        </w:rPr>
        <w:t>28-S38</w:t>
      </w:r>
      <w:r w:rsidRPr="008E2B3B">
        <w:rPr>
          <w:rFonts w:eastAsia="宋体"/>
          <w:kern w:val="0"/>
          <w:szCs w:val="20"/>
        </w:rPr>
        <w:t>页。</w:t>
      </w:r>
    </w:p>
    <w:p w14:paraId="39C4E0B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107</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Sussman</w:t>
      </w:r>
      <w:r w:rsidRPr="008E2B3B">
        <w:rPr>
          <w:rFonts w:eastAsia="宋体"/>
          <w:kern w:val="0"/>
          <w:szCs w:val="20"/>
        </w:rPr>
        <w:t>，</w:t>
      </w:r>
      <w:r w:rsidRPr="008E2B3B">
        <w:rPr>
          <w:rFonts w:eastAsia="宋体"/>
          <w:kern w:val="0"/>
          <w:szCs w:val="20"/>
        </w:rPr>
        <w:t xml:space="preserve"> R. G.</w:t>
      </w:r>
      <w:r w:rsidRPr="008E2B3B">
        <w:rPr>
          <w:rFonts w:eastAsia="宋体"/>
          <w:kern w:val="0"/>
          <w:szCs w:val="20"/>
        </w:rPr>
        <w:t>等人，</w:t>
      </w:r>
      <w:r w:rsidRPr="008E2B3B">
        <w:rPr>
          <w:rFonts w:eastAsia="宋体"/>
          <w:kern w:val="0"/>
          <w:szCs w:val="20"/>
        </w:rPr>
        <w:t>"</w:t>
      </w:r>
      <w:r w:rsidRPr="008E2B3B">
        <w:rPr>
          <w:rFonts w:eastAsia="宋体"/>
          <w:kern w:val="0"/>
          <w:szCs w:val="20"/>
        </w:rPr>
        <w:t>可接受的每日接触推导的统一努力</w:t>
      </w:r>
      <w:r w:rsidRPr="008E2B3B">
        <w:rPr>
          <w:rFonts w:eastAsia="宋体"/>
          <w:kern w:val="0"/>
          <w:szCs w:val="20"/>
        </w:rPr>
        <w:t xml:space="preserve"> – </w:t>
      </w:r>
      <w:r w:rsidRPr="008E2B3B">
        <w:rPr>
          <w:rFonts w:eastAsia="宋体"/>
          <w:kern w:val="0"/>
          <w:szCs w:val="20"/>
        </w:rPr>
        <w:t>调整因素应用的考虑</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药典，第</w:t>
      </w:r>
      <w:r w:rsidRPr="008E2B3B">
        <w:rPr>
          <w:rFonts w:eastAsia="宋体"/>
          <w:kern w:val="0"/>
          <w:szCs w:val="20"/>
        </w:rPr>
        <w:t>79</w:t>
      </w:r>
      <w:r w:rsidRPr="008E2B3B">
        <w:rPr>
          <w:rFonts w:eastAsia="宋体"/>
          <w:kern w:val="0"/>
          <w:szCs w:val="20"/>
        </w:rPr>
        <w:t>卷，</w:t>
      </w:r>
      <w:r w:rsidRPr="008E2B3B">
        <w:rPr>
          <w:rFonts w:eastAsia="宋体"/>
          <w:kern w:val="0"/>
          <w:szCs w:val="20"/>
        </w:rPr>
        <w:t>Suppl 1</w:t>
      </w:r>
      <w:r w:rsidRPr="008E2B3B">
        <w:rPr>
          <w:rFonts w:eastAsia="宋体"/>
          <w:kern w:val="0"/>
          <w:szCs w:val="20"/>
        </w:rPr>
        <w:t>，</w:t>
      </w:r>
      <w:r w:rsidRPr="008E2B3B">
        <w:rPr>
          <w:rFonts w:eastAsia="宋体"/>
          <w:kern w:val="0"/>
          <w:szCs w:val="20"/>
        </w:rPr>
        <w:t>2016</w:t>
      </w:r>
      <w:r w:rsidRPr="008E2B3B">
        <w:rPr>
          <w:rFonts w:eastAsia="宋体"/>
          <w:kern w:val="0"/>
          <w:szCs w:val="20"/>
        </w:rPr>
        <w:t>年，第</w:t>
      </w:r>
      <w:r w:rsidRPr="008E2B3B">
        <w:rPr>
          <w:rFonts w:eastAsia="宋体"/>
          <w:kern w:val="0"/>
          <w:szCs w:val="20"/>
        </w:rPr>
        <w:t>57-S66</w:t>
      </w:r>
      <w:r w:rsidRPr="008E2B3B">
        <w:rPr>
          <w:rFonts w:eastAsia="宋体"/>
          <w:kern w:val="0"/>
          <w:szCs w:val="20"/>
        </w:rPr>
        <w:t>页。</w:t>
      </w:r>
    </w:p>
    <w:p w14:paraId="50EE4492"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108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Dolan</w:t>
      </w:r>
      <w:r w:rsidRPr="008E2B3B">
        <w:rPr>
          <w:rFonts w:eastAsia="宋体"/>
          <w:kern w:val="0"/>
          <w:szCs w:val="20"/>
        </w:rPr>
        <w:t>、</w:t>
      </w:r>
      <w:r w:rsidRPr="008E2B3B">
        <w:rPr>
          <w:rFonts w:eastAsia="宋体"/>
          <w:kern w:val="0"/>
          <w:szCs w:val="20"/>
        </w:rPr>
        <w:t>D.G.</w:t>
      </w:r>
      <w:r w:rsidRPr="008E2B3B">
        <w:rPr>
          <w:rFonts w:eastAsia="宋体"/>
          <w:kern w:val="0"/>
          <w:szCs w:val="20"/>
        </w:rPr>
        <w:t>等人，</w:t>
      </w:r>
      <w:r w:rsidRPr="008E2B3B">
        <w:rPr>
          <w:rFonts w:eastAsia="宋体"/>
          <w:kern w:val="0"/>
          <w:szCs w:val="20"/>
        </w:rPr>
        <w:t>"</w:t>
      </w:r>
      <w:r w:rsidRPr="008E2B3B">
        <w:rPr>
          <w:rFonts w:eastAsia="宋体"/>
          <w:kern w:val="0"/>
          <w:szCs w:val="20"/>
        </w:rPr>
        <w:t>将毒理学关注概念的阈值应用到制药生产业务中</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药剂，第</w:t>
      </w:r>
      <w:r w:rsidRPr="008E2B3B">
        <w:rPr>
          <w:rFonts w:eastAsia="宋体"/>
          <w:kern w:val="0"/>
          <w:szCs w:val="20"/>
        </w:rPr>
        <w:t>43</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2005</w:t>
      </w:r>
      <w:r w:rsidRPr="008E2B3B">
        <w:rPr>
          <w:rFonts w:eastAsia="宋体"/>
          <w:kern w:val="0"/>
          <w:szCs w:val="20"/>
        </w:rPr>
        <w:t>年第</w:t>
      </w:r>
      <w:r w:rsidRPr="008E2B3B">
        <w:rPr>
          <w:rFonts w:eastAsia="宋体"/>
          <w:kern w:val="0"/>
          <w:szCs w:val="20"/>
        </w:rPr>
        <w:t>1-9</w:t>
      </w:r>
      <w:r w:rsidRPr="008E2B3B">
        <w:rPr>
          <w:rFonts w:eastAsia="宋体"/>
          <w:kern w:val="0"/>
          <w:szCs w:val="20"/>
        </w:rPr>
        <w:t>页。</w:t>
      </w:r>
    </w:p>
    <w:p w14:paraId="5FC96F5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109</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美国食品和药物管理局，</w:t>
      </w:r>
      <w:r w:rsidRPr="008E2B3B">
        <w:rPr>
          <w:rFonts w:eastAsia="宋体"/>
          <w:kern w:val="0"/>
          <w:szCs w:val="20"/>
        </w:rPr>
        <w:t>"</w:t>
      </w:r>
      <w:r w:rsidRPr="008E2B3B">
        <w:rPr>
          <w:rFonts w:eastAsia="宋体"/>
          <w:kern w:val="0"/>
          <w:szCs w:val="20"/>
        </w:rPr>
        <w:t>食品添加剂</w:t>
      </w:r>
      <w:r w:rsidRPr="008E2B3B">
        <w:rPr>
          <w:rFonts w:eastAsia="宋体"/>
          <w:kern w:val="0"/>
          <w:szCs w:val="20"/>
        </w:rPr>
        <w:t>;</w:t>
      </w:r>
      <w:r w:rsidRPr="008E2B3B">
        <w:rPr>
          <w:rFonts w:eastAsia="宋体"/>
          <w:kern w:val="0"/>
          <w:szCs w:val="20"/>
        </w:rPr>
        <w:t>食品接触用品中物质监管的门槛。《最后规则》</w:t>
      </w:r>
      <w:r w:rsidRPr="008E2B3B">
        <w:rPr>
          <w:rFonts w:eastAsia="宋体"/>
          <w:kern w:val="0"/>
          <w:szCs w:val="20"/>
        </w:rPr>
        <w:t>1995</w:t>
      </w:r>
      <w:r w:rsidRPr="008E2B3B">
        <w:rPr>
          <w:rFonts w:eastAsia="宋体"/>
          <w:kern w:val="0"/>
          <w:szCs w:val="20"/>
        </w:rPr>
        <w:t>年，《联邦登记册》第</w:t>
      </w:r>
      <w:r w:rsidRPr="008E2B3B">
        <w:rPr>
          <w:rFonts w:eastAsia="宋体"/>
          <w:kern w:val="0"/>
          <w:szCs w:val="20"/>
        </w:rPr>
        <w:t>36581-36596</w:t>
      </w:r>
      <w:r w:rsidRPr="008E2B3B">
        <w:rPr>
          <w:rFonts w:eastAsia="宋体"/>
          <w:kern w:val="0"/>
          <w:szCs w:val="20"/>
        </w:rPr>
        <w:t>页。</w:t>
      </w:r>
    </w:p>
    <w:p w14:paraId="4DC0BEA2"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110</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Müller</w:t>
      </w:r>
      <w:r w:rsidRPr="008E2B3B">
        <w:rPr>
          <w:rFonts w:eastAsia="宋体"/>
          <w:kern w:val="0"/>
          <w:szCs w:val="20"/>
        </w:rPr>
        <w:t>，</w:t>
      </w:r>
      <w:r w:rsidRPr="008E2B3B">
        <w:rPr>
          <w:rFonts w:eastAsia="宋体"/>
          <w:kern w:val="0"/>
          <w:szCs w:val="20"/>
        </w:rPr>
        <w:t xml:space="preserve"> L.</w:t>
      </w:r>
      <w:r w:rsidRPr="008E2B3B">
        <w:rPr>
          <w:rFonts w:eastAsia="宋体"/>
          <w:kern w:val="0"/>
          <w:szCs w:val="20"/>
        </w:rPr>
        <w:t>等人，</w:t>
      </w:r>
      <w:r w:rsidRPr="008E2B3B">
        <w:rPr>
          <w:rFonts w:eastAsia="宋体"/>
          <w:kern w:val="0"/>
          <w:szCs w:val="20"/>
        </w:rPr>
        <w:t>"</w:t>
      </w:r>
      <w:r w:rsidRPr="008E2B3B">
        <w:rPr>
          <w:rFonts w:eastAsia="宋体"/>
          <w:kern w:val="0"/>
          <w:szCs w:val="20"/>
        </w:rPr>
        <w:t>确定、测试和控制具有基因毒性潜力的药品中特定杂质的理由</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药剂，第</w:t>
      </w:r>
      <w:r w:rsidRPr="008E2B3B">
        <w:rPr>
          <w:rFonts w:eastAsia="宋体"/>
          <w:kern w:val="0"/>
          <w:szCs w:val="20"/>
        </w:rPr>
        <w:t>44</w:t>
      </w:r>
      <w:r w:rsidRPr="008E2B3B">
        <w:rPr>
          <w:rFonts w:eastAsia="宋体"/>
          <w:kern w:val="0"/>
          <w:szCs w:val="20"/>
        </w:rPr>
        <w:t>卷，第</w:t>
      </w:r>
      <w:r w:rsidRPr="008E2B3B">
        <w:rPr>
          <w:rFonts w:eastAsia="宋体"/>
          <w:kern w:val="0"/>
          <w:szCs w:val="20"/>
        </w:rPr>
        <w:t>3</w:t>
      </w:r>
      <w:r w:rsidRPr="008E2B3B">
        <w:rPr>
          <w:rFonts w:eastAsia="宋体"/>
          <w:kern w:val="0"/>
          <w:szCs w:val="20"/>
        </w:rPr>
        <w:t>号，</w:t>
      </w:r>
      <w:r w:rsidRPr="008E2B3B">
        <w:rPr>
          <w:rFonts w:eastAsia="宋体"/>
          <w:kern w:val="0"/>
          <w:szCs w:val="20"/>
        </w:rPr>
        <w:t>2006</w:t>
      </w:r>
      <w:r w:rsidRPr="008E2B3B">
        <w:rPr>
          <w:rFonts w:eastAsia="宋体"/>
          <w:kern w:val="0"/>
          <w:szCs w:val="20"/>
        </w:rPr>
        <w:t>年，第</w:t>
      </w:r>
      <w:r w:rsidRPr="008E2B3B">
        <w:rPr>
          <w:rFonts w:eastAsia="宋体"/>
          <w:kern w:val="0"/>
          <w:szCs w:val="20"/>
        </w:rPr>
        <w:t>198-211</w:t>
      </w:r>
      <w:r w:rsidRPr="008E2B3B">
        <w:rPr>
          <w:rFonts w:eastAsia="宋体"/>
          <w:kern w:val="0"/>
          <w:szCs w:val="20"/>
        </w:rPr>
        <w:t>页。</w:t>
      </w:r>
    </w:p>
    <w:p w14:paraId="765E33E0"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111</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Kroes</w:t>
      </w:r>
      <w:proofErr w:type="spellEnd"/>
      <w:r w:rsidRPr="008E2B3B">
        <w:rPr>
          <w:rFonts w:eastAsia="宋体"/>
          <w:kern w:val="0"/>
          <w:szCs w:val="20"/>
        </w:rPr>
        <w:t>，</w:t>
      </w:r>
      <w:r w:rsidRPr="008E2B3B">
        <w:rPr>
          <w:rFonts w:eastAsia="宋体"/>
          <w:kern w:val="0"/>
          <w:szCs w:val="20"/>
        </w:rPr>
        <w:t xml:space="preserve"> R.</w:t>
      </w:r>
      <w:r w:rsidRPr="008E2B3B">
        <w:rPr>
          <w:rFonts w:eastAsia="宋体"/>
          <w:kern w:val="0"/>
          <w:szCs w:val="20"/>
        </w:rPr>
        <w:t>等人，</w:t>
      </w:r>
      <w:r w:rsidRPr="008E2B3B">
        <w:rPr>
          <w:rFonts w:eastAsia="宋体"/>
          <w:kern w:val="0"/>
          <w:szCs w:val="20"/>
        </w:rPr>
        <w:t>"</w:t>
      </w:r>
      <w:r w:rsidRPr="008E2B3B">
        <w:rPr>
          <w:rFonts w:eastAsia="宋体"/>
          <w:kern w:val="0"/>
          <w:szCs w:val="20"/>
        </w:rPr>
        <w:t>基于结构的毒理学问题阈值（</w:t>
      </w:r>
      <w:r w:rsidRPr="008E2B3B">
        <w:rPr>
          <w:rFonts w:eastAsia="宋体"/>
          <w:kern w:val="0"/>
          <w:szCs w:val="20"/>
        </w:rPr>
        <w:t>TTC</w:t>
      </w:r>
      <w:r w:rsidRPr="008E2B3B">
        <w:rPr>
          <w:rFonts w:eastAsia="宋体"/>
          <w:kern w:val="0"/>
          <w:szCs w:val="20"/>
        </w:rPr>
        <w:t>）：对饮食中低水平物质的应用指南</w:t>
      </w:r>
      <w:r w:rsidRPr="008E2B3B">
        <w:rPr>
          <w:rFonts w:eastAsia="宋体"/>
          <w:kern w:val="0"/>
          <w:szCs w:val="20"/>
        </w:rPr>
        <w:t>"</w:t>
      </w:r>
      <w:r w:rsidRPr="008E2B3B">
        <w:rPr>
          <w:rFonts w:eastAsia="宋体"/>
          <w:kern w:val="0"/>
          <w:szCs w:val="20"/>
        </w:rPr>
        <w:t>，食品化学毒醇，第</w:t>
      </w:r>
      <w:r w:rsidRPr="008E2B3B">
        <w:rPr>
          <w:rFonts w:eastAsia="宋体"/>
          <w:kern w:val="0"/>
          <w:szCs w:val="20"/>
        </w:rPr>
        <w:t>42</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2004</w:t>
      </w:r>
      <w:r w:rsidRPr="008E2B3B">
        <w:rPr>
          <w:rFonts w:eastAsia="宋体"/>
          <w:kern w:val="0"/>
          <w:szCs w:val="20"/>
        </w:rPr>
        <w:t>年，第</w:t>
      </w:r>
      <w:r w:rsidRPr="008E2B3B">
        <w:rPr>
          <w:rFonts w:eastAsia="宋体"/>
          <w:kern w:val="0"/>
          <w:szCs w:val="20"/>
        </w:rPr>
        <w:t>65-83</w:t>
      </w:r>
      <w:r w:rsidRPr="008E2B3B">
        <w:rPr>
          <w:rFonts w:eastAsia="宋体"/>
          <w:kern w:val="0"/>
          <w:szCs w:val="20"/>
        </w:rPr>
        <w:t>页。</w:t>
      </w:r>
    </w:p>
    <w:p w14:paraId="16F90F3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112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克</w:t>
      </w:r>
      <w:proofErr w:type="gramStart"/>
      <w:r w:rsidRPr="008E2B3B">
        <w:rPr>
          <w:rFonts w:eastAsia="宋体"/>
          <w:kern w:val="0"/>
          <w:szCs w:val="20"/>
        </w:rPr>
        <w:t>莱</w:t>
      </w:r>
      <w:proofErr w:type="gramEnd"/>
      <w:r w:rsidRPr="008E2B3B">
        <w:rPr>
          <w:rFonts w:eastAsia="宋体"/>
          <w:kern w:val="0"/>
          <w:szCs w:val="20"/>
        </w:rPr>
        <w:t>默，</w:t>
      </w:r>
      <w:r w:rsidRPr="008E2B3B">
        <w:rPr>
          <w:rFonts w:eastAsia="宋体"/>
          <w:kern w:val="0"/>
          <w:szCs w:val="20"/>
        </w:rPr>
        <w:t xml:space="preserve"> G. M.</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福特，</w:t>
      </w:r>
      <w:r w:rsidRPr="008E2B3B">
        <w:rPr>
          <w:rFonts w:eastAsia="宋体"/>
          <w:kern w:val="0"/>
          <w:szCs w:val="20"/>
        </w:rPr>
        <w:t xml:space="preserve"> R. A. </w:t>
      </w:r>
      <w:r w:rsidRPr="008E2B3B">
        <w:rPr>
          <w:rFonts w:eastAsia="宋体"/>
          <w:kern w:val="0"/>
          <w:szCs w:val="20"/>
        </w:rPr>
        <w:t>和霍尔，</w:t>
      </w:r>
      <w:r w:rsidRPr="008E2B3B">
        <w:rPr>
          <w:rFonts w:eastAsia="宋体"/>
          <w:kern w:val="0"/>
          <w:szCs w:val="20"/>
        </w:rPr>
        <w:t xml:space="preserve"> R. L.</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毒性危害的估计</w:t>
      </w:r>
      <w:r w:rsidRPr="008E2B3B">
        <w:rPr>
          <w:rFonts w:eastAsia="宋体"/>
          <w:kern w:val="0"/>
          <w:szCs w:val="20"/>
        </w:rPr>
        <w:t xml:space="preserve"> - </w:t>
      </w:r>
      <w:r w:rsidRPr="008E2B3B">
        <w:rPr>
          <w:rFonts w:eastAsia="宋体"/>
          <w:kern w:val="0"/>
          <w:szCs w:val="20"/>
        </w:rPr>
        <w:t>决策树的方法，</w:t>
      </w:r>
      <w:r w:rsidRPr="008E2B3B">
        <w:rPr>
          <w:rFonts w:eastAsia="宋体"/>
          <w:kern w:val="0"/>
          <w:szCs w:val="20"/>
        </w:rPr>
        <w:t>"</w:t>
      </w:r>
      <w:r w:rsidRPr="008E2B3B">
        <w:rPr>
          <w:rFonts w:eastAsia="宋体"/>
          <w:kern w:val="0"/>
          <w:szCs w:val="20"/>
        </w:rPr>
        <w:t>食品宇宙有毒物质，第</w:t>
      </w:r>
      <w:r w:rsidRPr="008E2B3B">
        <w:rPr>
          <w:rFonts w:eastAsia="宋体"/>
          <w:kern w:val="0"/>
          <w:szCs w:val="20"/>
        </w:rPr>
        <w:t>16</w:t>
      </w:r>
      <w:r w:rsidRPr="008E2B3B">
        <w:rPr>
          <w:rFonts w:eastAsia="宋体"/>
          <w:kern w:val="0"/>
          <w:szCs w:val="20"/>
        </w:rPr>
        <w:t>卷，第</w:t>
      </w:r>
      <w:r w:rsidRPr="008E2B3B">
        <w:rPr>
          <w:rFonts w:eastAsia="宋体"/>
          <w:kern w:val="0"/>
          <w:szCs w:val="20"/>
        </w:rPr>
        <w:t>3</w:t>
      </w:r>
      <w:r w:rsidRPr="008E2B3B">
        <w:rPr>
          <w:rFonts w:eastAsia="宋体"/>
          <w:kern w:val="0"/>
          <w:szCs w:val="20"/>
        </w:rPr>
        <w:t>卷，</w:t>
      </w:r>
      <w:r w:rsidRPr="008E2B3B">
        <w:rPr>
          <w:rFonts w:eastAsia="宋体"/>
          <w:kern w:val="0"/>
          <w:szCs w:val="20"/>
        </w:rPr>
        <w:t>1978</w:t>
      </w:r>
      <w:r w:rsidRPr="008E2B3B">
        <w:rPr>
          <w:rFonts w:eastAsia="宋体"/>
          <w:kern w:val="0"/>
          <w:szCs w:val="20"/>
        </w:rPr>
        <w:t>年，第</w:t>
      </w:r>
      <w:r w:rsidRPr="008E2B3B">
        <w:rPr>
          <w:rFonts w:eastAsia="宋体"/>
          <w:kern w:val="0"/>
          <w:szCs w:val="20"/>
        </w:rPr>
        <w:t>255-276</w:t>
      </w:r>
      <w:r w:rsidRPr="008E2B3B">
        <w:rPr>
          <w:rFonts w:eastAsia="宋体"/>
          <w:kern w:val="0"/>
          <w:szCs w:val="20"/>
        </w:rPr>
        <w:t>页。</w:t>
      </w:r>
    </w:p>
    <w:p w14:paraId="6BC967C0"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113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斯坦纳德，</w:t>
      </w:r>
      <w:r w:rsidRPr="008E2B3B">
        <w:rPr>
          <w:rFonts w:eastAsia="宋体"/>
          <w:kern w:val="0"/>
          <w:szCs w:val="20"/>
        </w:rPr>
        <w:t xml:space="preserve"> B.</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多兰，</w:t>
      </w:r>
      <w:r w:rsidRPr="008E2B3B">
        <w:rPr>
          <w:rFonts w:eastAsia="宋体"/>
          <w:kern w:val="0"/>
          <w:szCs w:val="20"/>
        </w:rPr>
        <w:t xml:space="preserve"> D. G.</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汉尼曼，</w:t>
      </w:r>
      <w:r w:rsidRPr="008E2B3B">
        <w:rPr>
          <w:rFonts w:eastAsia="宋体"/>
          <w:kern w:val="0"/>
          <w:szCs w:val="20"/>
        </w:rPr>
        <w:t xml:space="preserve"> W.</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勒加雷，</w:t>
      </w:r>
      <w:r w:rsidRPr="008E2B3B">
        <w:rPr>
          <w:rFonts w:eastAsia="宋体"/>
          <w:kern w:val="0"/>
          <w:szCs w:val="20"/>
        </w:rPr>
        <w:t xml:space="preserve"> M.</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和伯库，</w:t>
      </w:r>
      <w:r w:rsidRPr="008E2B3B">
        <w:rPr>
          <w:rFonts w:eastAsia="宋体"/>
          <w:kern w:val="0"/>
          <w:szCs w:val="20"/>
        </w:rPr>
        <w:t xml:space="preserve"> J. P.</w:t>
      </w:r>
      <w:r w:rsidRPr="008E2B3B">
        <w:rPr>
          <w:rFonts w:eastAsia="宋体"/>
          <w:kern w:val="0"/>
          <w:szCs w:val="20"/>
        </w:rPr>
        <w:t>（</w:t>
      </w:r>
      <w:r w:rsidRPr="008E2B3B">
        <w:rPr>
          <w:rFonts w:eastAsia="宋体"/>
          <w:kern w:val="0"/>
          <w:szCs w:val="20"/>
        </w:rPr>
        <w:t>2015</w:t>
      </w:r>
      <w:r w:rsidRPr="008E2B3B">
        <w:rPr>
          <w:rFonts w:eastAsia="宋体"/>
          <w:kern w:val="0"/>
          <w:szCs w:val="20"/>
        </w:rPr>
        <w:t>年）。抗癌化合物发育和生殖毒性毒理学问题阈值。雷古尔毒药，</w:t>
      </w:r>
      <w:r w:rsidRPr="008E2B3B">
        <w:rPr>
          <w:rFonts w:eastAsia="宋体"/>
          <w:kern w:val="0"/>
          <w:szCs w:val="20"/>
        </w:rPr>
        <w:t>72</w:t>
      </w:r>
      <w:r w:rsidRPr="008E2B3B">
        <w:rPr>
          <w:rFonts w:eastAsia="宋体"/>
          <w:kern w:val="0"/>
          <w:szCs w:val="20"/>
        </w:rPr>
        <w:t>（</w:t>
      </w:r>
      <w:r w:rsidRPr="008E2B3B">
        <w:rPr>
          <w:rFonts w:eastAsia="宋体"/>
          <w:kern w:val="0"/>
          <w:szCs w:val="20"/>
        </w:rPr>
        <w:t>3</w:t>
      </w:r>
      <w:r w:rsidRPr="008E2B3B">
        <w:rPr>
          <w:rFonts w:eastAsia="宋体"/>
          <w:kern w:val="0"/>
          <w:szCs w:val="20"/>
        </w:rPr>
        <w:t>），</w:t>
      </w:r>
      <w:r w:rsidRPr="008E2B3B">
        <w:rPr>
          <w:rFonts w:eastAsia="宋体"/>
          <w:kern w:val="0"/>
          <w:szCs w:val="20"/>
        </w:rPr>
        <w:t>602-609</w:t>
      </w:r>
      <w:r w:rsidRPr="008E2B3B">
        <w:rPr>
          <w:rFonts w:eastAsia="宋体"/>
          <w:kern w:val="0"/>
          <w:szCs w:val="20"/>
        </w:rPr>
        <w:t>。</w:t>
      </w:r>
    </w:p>
    <w:p w14:paraId="289E287D"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114</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Lovsin</w:t>
      </w:r>
      <w:proofErr w:type="spellEnd"/>
      <w:r w:rsidRPr="008E2B3B">
        <w:rPr>
          <w:rFonts w:eastAsia="宋体"/>
          <w:kern w:val="0"/>
          <w:szCs w:val="20"/>
        </w:rPr>
        <w:t xml:space="preserve"> </w:t>
      </w:r>
      <w:proofErr w:type="spellStart"/>
      <w:r w:rsidRPr="008E2B3B">
        <w:rPr>
          <w:rFonts w:eastAsia="宋体"/>
          <w:kern w:val="0"/>
          <w:szCs w:val="20"/>
        </w:rPr>
        <w:t>Barle</w:t>
      </w:r>
      <w:proofErr w:type="spellEnd"/>
      <w:r w:rsidRPr="008E2B3B">
        <w:rPr>
          <w:rFonts w:eastAsia="宋体"/>
          <w:kern w:val="0"/>
          <w:szCs w:val="20"/>
        </w:rPr>
        <w:t>，</w:t>
      </w:r>
      <w:r w:rsidRPr="008E2B3B">
        <w:rPr>
          <w:rFonts w:eastAsia="宋体"/>
          <w:kern w:val="0"/>
          <w:szCs w:val="20"/>
        </w:rPr>
        <w:t>E.</w:t>
      </w:r>
      <w:r w:rsidRPr="008E2B3B">
        <w:rPr>
          <w:rFonts w:eastAsia="宋体"/>
          <w:kern w:val="0"/>
          <w:szCs w:val="20"/>
        </w:rPr>
        <w:t>等人，</w:t>
      </w:r>
      <w:r w:rsidRPr="008E2B3B">
        <w:rPr>
          <w:rFonts w:eastAsia="宋体"/>
          <w:kern w:val="0"/>
          <w:szCs w:val="20"/>
        </w:rPr>
        <w:t>"</w:t>
      </w:r>
      <w:r w:rsidRPr="008E2B3B">
        <w:rPr>
          <w:rFonts w:eastAsia="宋体"/>
          <w:kern w:val="0"/>
          <w:szCs w:val="20"/>
        </w:rPr>
        <w:t>在多用途制造设施中，确定和适用允许的眼皮药物的每日接触（</w:t>
      </w:r>
      <w:r w:rsidRPr="008E2B3B">
        <w:rPr>
          <w:rFonts w:eastAsia="宋体"/>
          <w:kern w:val="0"/>
          <w:szCs w:val="20"/>
        </w:rPr>
        <w:t>PDE</w:t>
      </w:r>
      <w:r w:rsidRPr="008E2B3B">
        <w:rPr>
          <w:rFonts w:eastAsia="宋体"/>
          <w:kern w:val="0"/>
          <w:szCs w:val="20"/>
        </w:rPr>
        <w:t>），</w:t>
      </w:r>
      <w:r w:rsidRPr="008E2B3B">
        <w:rPr>
          <w:rFonts w:eastAsia="宋体"/>
          <w:kern w:val="0"/>
          <w:szCs w:val="20"/>
        </w:rPr>
        <w:t>"Pharm Dev Technol</w:t>
      </w:r>
      <w:r w:rsidRPr="008E2B3B">
        <w:rPr>
          <w:rFonts w:eastAsia="宋体"/>
          <w:kern w:val="0"/>
          <w:szCs w:val="20"/>
        </w:rPr>
        <w:t>，第</w:t>
      </w:r>
      <w:r w:rsidRPr="008E2B3B">
        <w:rPr>
          <w:rFonts w:eastAsia="宋体"/>
          <w:kern w:val="0"/>
          <w:szCs w:val="20"/>
        </w:rPr>
        <w:t>23</w:t>
      </w:r>
      <w:r w:rsidRPr="008E2B3B">
        <w:rPr>
          <w:rFonts w:eastAsia="宋体"/>
          <w:kern w:val="0"/>
          <w:szCs w:val="20"/>
        </w:rPr>
        <w:t>卷，第</w:t>
      </w:r>
      <w:r w:rsidRPr="008E2B3B">
        <w:rPr>
          <w:rFonts w:eastAsia="宋体"/>
          <w:kern w:val="0"/>
          <w:szCs w:val="20"/>
        </w:rPr>
        <w:t>3</w:t>
      </w:r>
      <w:r w:rsidRPr="008E2B3B">
        <w:rPr>
          <w:rFonts w:eastAsia="宋体"/>
          <w:kern w:val="0"/>
          <w:szCs w:val="20"/>
        </w:rPr>
        <w:t>号，</w:t>
      </w:r>
      <w:r w:rsidRPr="008E2B3B">
        <w:rPr>
          <w:rFonts w:eastAsia="宋体"/>
          <w:kern w:val="0"/>
          <w:szCs w:val="20"/>
        </w:rPr>
        <w:t>2018</w:t>
      </w:r>
      <w:r w:rsidRPr="008E2B3B">
        <w:rPr>
          <w:rFonts w:eastAsia="宋体"/>
          <w:kern w:val="0"/>
          <w:szCs w:val="20"/>
        </w:rPr>
        <w:t>年，第</w:t>
      </w:r>
      <w:r w:rsidRPr="008E2B3B">
        <w:rPr>
          <w:rFonts w:eastAsia="宋体"/>
          <w:kern w:val="0"/>
          <w:szCs w:val="20"/>
        </w:rPr>
        <w:t>225-230</w:t>
      </w:r>
      <w:r w:rsidRPr="008E2B3B">
        <w:rPr>
          <w:rFonts w:eastAsia="宋体"/>
          <w:kern w:val="0"/>
          <w:szCs w:val="20"/>
        </w:rPr>
        <w:t>页。</w:t>
      </w:r>
    </w:p>
    <w:p w14:paraId="5684011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115</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Lovsin</w:t>
      </w:r>
      <w:proofErr w:type="spellEnd"/>
      <w:r w:rsidRPr="008E2B3B">
        <w:rPr>
          <w:rFonts w:eastAsia="宋体"/>
          <w:kern w:val="0"/>
          <w:szCs w:val="20"/>
        </w:rPr>
        <w:t xml:space="preserve"> </w:t>
      </w:r>
      <w:proofErr w:type="spellStart"/>
      <w:r w:rsidRPr="008E2B3B">
        <w:rPr>
          <w:rFonts w:eastAsia="宋体"/>
          <w:kern w:val="0"/>
          <w:szCs w:val="20"/>
        </w:rPr>
        <w:t>Barle</w:t>
      </w:r>
      <w:proofErr w:type="spellEnd"/>
      <w:r w:rsidRPr="008E2B3B">
        <w:rPr>
          <w:rFonts w:eastAsia="宋体"/>
          <w:kern w:val="0"/>
          <w:szCs w:val="20"/>
        </w:rPr>
        <w:t>，</w:t>
      </w:r>
      <w:r w:rsidRPr="008E2B3B">
        <w:rPr>
          <w:rFonts w:eastAsia="宋体"/>
          <w:kern w:val="0"/>
          <w:szCs w:val="20"/>
        </w:rPr>
        <w:t xml:space="preserve"> E.</w:t>
      </w:r>
      <w:r w:rsidRPr="008E2B3B">
        <w:rPr>
          <w:rFonts w:eastAsia="宋体"/>
          <w:kern w:val="0"/>
          <w:szCs w:val="20"/>
        </w:rPr>
        <w:t>等人，</w:t>
      </w:r>
      <w:r w:rsidRPr="008E2B3B">
        <w:rPr>
          <w:rFonts w:eastAsia="宋体"/>
          <w:kern w:val="0"/>
          <w:szCs w:val="20"/>
        </w:rPr>
        <w:t>"</w:t>
      </w:r>
      <w:r w:rsidRPr="008E2B3B">
        <w:rPr>
          <w:rFonts w:eastAsia="宋体"/>
          <w:kern w:val="0"/>
          <w:szCs w:val="20"/>
        </w:rPr>
        <w:t>在多用途制造设施中，对内聚物</w:t>
      </w:r>
      <w:r w:rsidRPr="008E2B3B">
        <w:rPr>
          <w:rFonts w:eastAsia="宋体"/>
          <w:kern w:val="0"/>
          <w:szCs w:val="20"/>
        </w:rPr>
        <w:t xml:space="preserve"> </w:t>
      </w:r>
      <w:r w:rsidRPr="008E2B3B">
        <w:rPr>
          <w:rFonts w:eastAsia="宋体"/>
          <w:kern w:val="0"/>
          <w:szCs w:val="20"/>
        </w:rPr>
        <w:t>（</w:t>
      </w:r>
      <w:r w:rsidRPr="008E2B3B">
        <w:rPr>
          <w:rFonts w:eastAsia="宋体"/>
          <w:kern w:val="0"/>
          <w:szCs w:val="20"/>
        </w:rPr>
        <w:t>IVT</w:t>
      </w:r>
      <w:r w:rsidRPr="008E2B3B">
        <w:rPr>
          <w:rFonts w:eastAsia="宋体"/>
          <w:kern w:val="0"/>
          <w:szCs w:val="20"/>
        </w:rPr>
        <w:t>）</w:t>
      </w:r>
      <w:r w:rsidRPr="008E2B3B">
        <w:rPr>
          <w:rFonts w:eastAsia="宋体"/>
          <w:kern w:val="0"/>
          <w:szCs w:val="20"/>
        </w:rPr>
        <w:t xml:space="preserve"> </w:t>
      </w:r>
      <w:r w:rsidRPr="008E2B3B">
        <w:rPr>
          <w:rFonts w:eastAsia="宋体"/>
          <w:kern w:val="0"/>
          <w:szCs w:val="20"/>
        </w:rPr>
        <w:t>药物的污染物使用允许的每日接触</w:t>
      </w:r>
      <w:r w:rsidRPr="008E2B3B">
        <w:rPr>
          <w:rFonts w:eastAsia="宋体"/>
          <w:kern w:val="0"/>
          <w:szCs w:val="20"/>
        </w:rPr>
        <w:t xml:space="preserve"> </w:t>
      </w:r>
      <w:r w:rsidRPr="008E2B3B">
        <w:rPr>
          <w:rFonts w:eastAsia="宋体"/>
          <w:kern w:val="0"/>
          <w:szCs w:val="20"/>
        </w:rPr>
        <w:t>（</w:t>
      </w:r>
      <w:r w:rsidRPr="008E2B3B">
        <w:rPr>
          <w:rFonts w:eastAsia="宋体"/>
          <w:kern w:val="0"/>
          <w:szCs w:val="20"/>
        </w:rPr>
        <w:t>PDE</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概念</w:t>
      </w:r>
      <w:r w:rsidRPr="008E2B3B">
        <w:rPr>
          <w:rFonts w:eastAsia="宋体"/>
          <w:kern w:val="0"/>
          <w:szCs w:val="20"/>
        </w:rPr>
        <w:t>"</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雷古尔毒醇</w:t>
      </w:r>
      <w:proofErr w:type="gramEnd"/>
      <w:r w:rsidRPr="008E2B3B">
        <w:rPr>
          <w:rFonts w:eastAsia="宋体"/>
          <w:kern w:val="0"/>
          <w:szCs w:val="20"/>
        </w:rPr>
        <w:t>药剂，第</w:t>
      </w:r>
      <w:r w:rsidRPr="008E2B3B">
        <w:rPr>
          <w:rFonts w:eastAsia="宋体"/>
          <w:kern w:val="0"/>
          <w:szCs w:val="20"/>
        </w:rPr>
        <w:t xml:space="preserve"> 101 </w:t>
      </w:r>
      <w:r w:rsidRPr="008E2B3B">
        <w:rPr>
          <w:rFonts w:eastAsia="宋体"/>
          <w:kern w:val="0"/>
          <w:szCs w:val="20"/>
        </w:rPr>
        <w:t>卷，</w:t>
      </w:r>
      <w:r w:rsidRPr="008E2B3B">
        <w:rPr>
          <w:rFonts w:eastAsia="宋体"/>
          <w:kern w:val="0"/>
          <w:szCs w:val="20"/>
        </w:rPr>
        <w:t xml:space="preserve">2019 </w:t>
      </w:r>
      <w:r w:rsidRPr="008E2B3B">
        <w:rPr>
          <w:rFonts w:eastAsia="宋体"/>
          <w:kern w:val="0"/>
          <w:szCs w:val="20"/>
        </w:rPr>
        <w:t>年，第</w:t>
      </w:r>
      <w:r w:rsidRPr="008E2B3B">
        <w:rPr>
          <w:rFonts w:eastAsia="宋体"/>
          <w:kern w:val="0"/>
          <w:szCs w:val="20"/>
        </w:rPr>
        <w:t xml:space="preserve"> 29-34 </w:t>
      </w:r>
      <w:r w:rsidRPr="008E2B3B">
        <w:rPr>
          <w:rFonts w:eastAsia="宋体"/>
          <w:kern w:val="0"/>
          <w:szCs w:val="20"/>
        </w:rPr>
        <w:t>页。</w:t>
      </w:r>
    </w:p>
    <w:p w14:paraId="212A228D"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116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Wiesner</w:t>
      </w:r>
      <w:r w:rsidRPr="008E2B3B">
        <w:rPr>
          <w:rFonts w:eastAsia="宋体"/>
          <w:kern w:val="0"/>
          <w:szCs w:val="20"/>
        </w:rPr>
        <w:t>，</w:t>
      </w:r>
      <w:r w:rsidRPr="008E2B3B">
        <w:rPr>
          <w:rFonts w:eastAsia="宋体"/>
          <w:kern w:val="0"/>
          <w:szCs w:val="20"/>
        </w:rPr>
        <w:t xml:space="preserve"> L.</w:t>
      </w:r>
      <w:r w:rsidRPr="008E2B3B">
        <w:rPr>
          <w:rFonts w:eastAsia="宋体"/>
          <w:kern w:val="0"/>
          <w:szCs w:val="20"/>
        </w:rPr>
        <w:t>，</w:t>
      </w:r>
      <w:r w:rsidRPr="008E2B3B">
        <w:rPr>
          <w:rFonts w:eastAsia="宋体"/>
          <w:kern w:val="0"/>
          <w:szCs w:val="20"/>
        </w:rPr>
        <w:t xml:space="preserve"> </w:t>
      </w:r>
      <w:proofErr w:type="spellStart"/>
      <w:r w:rsidRPr="008E2B3B">
        <w:rPr>
          <w:rFonts w:eastAsia="宋体"/>
          <w:kern w:val="0"/>
          <w:szCs w:val="20"/>
        </w:rPr>
        <w:t>Prause</w:t>
      </w:r>
      <w:proofErr w:type="spellEnd"/>
      <w:r w:rsidRPr="008E2B3B">
        <w:rPr>
          <w:rFonts w:eastAsia="宋体"/>
          <w:kern w:val="0"/>
          <w:szCs w:val="20"/>
        </w:rPr>
        <w:t>，</w:t>
      </w:r>
      <w:r w:rsidRPr="008E2B3B">
        <w:rPr>
          <w:rFonts w:eastAsia="宋体"/>
          <w:kern w:val="0"/>
          <w:szCs w:val="20"/>
        </w:rPr>
        <w:t xml:space="preserve"> M.</w:t>
      </w:r>
      <w:r w:rsidRPr="008E2B3B">
        <w:rPr>
          <w:rFonts w:eastAsia="宋体"/>
          <w:kern w:val="0"/>
          <w:szCs w:val="20"/>
        </w:rPr>
        <w:t>和</w:t>
      </w:r>
      <w:proofErr w:type="spellStart"/>
      <w:r w:rsidRPr="008E2B3B">
        <w:rPr>
          <w:rFonts w:eastAsia="宋体"/>
          <w:kern w:val="0"/>
          <w:szCs w:val="20"/>
        </w:rPr>
        <w:t>Lovsin</w:t>
      </w:r>
      <w:proofErr w:type="spellEnd"/>
      <w:r w:rsidRPr="008E2B3B">
        <w:rPr>
          <w:rFonts w:eastAsia="宋体"/>
          <w:kern w:val="0"/>
          <w:szCs w:val="20"/>
        </w:rPr>
        <w:t xml:space="preserve"> </w:t>
      </w:r>
      <w:proofErr w:type="spellStart"/>
      <w:r w:rsidRPr="008E2B3B">
        <w:rPr>
          <w:rFonts w:eastAsia="宋体"/>
          <w:kern w:val="0"/>
          <w:szCs w:val="20"/>
        </w:rPr>
        <w:t>Barle</w:t>
      </w:r>
      <w:proofErr w:type="spellEnd"/>
      <w:r w:rsidRPr="008E2B3B">
        <w:rPr>
          <w:rFonts w:eastAsia="宋体"/>
          <w:kern w:val="0"/>
          <w:szCs w:val="20"/>
        </w:rPr>
        <w:t>，</w:t>
      </w:r>
      <w:r w:rsidRPr="008E2B3B">
        <w:rPr>
          <w:rFonts w:eastAsia="宋体"/>
          <w:kern w:val="0"/>
          <w:szCs w:val="20"/>
        </w:rPr>
        <w:t xml:space="preserve"> E.</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多用途制造设施中的局部</w:t>
      </w:r>
      <w:r w:rsidRPr="008E2B3B">
        <w:rPr>
          <w:rFonts w:eastAsia="宋体"/>
          <w:kern w:val="0"/>
          <w:szCs w:val="20"/>
        </w:rPr>
        <w:t xml:space="preserve"> </w:t>
      </w:r>
      <w:proofErr w:type="spellStart"/>
      <w:r w:rsidRPr="008E2B3B">
        <w:rPr>
          <w:rFonts w:eastAsia="宋体"/>
          <w:kern w:val="0"/>
          <w:szCs w:val="20"/>
        </w:rPr>
        <w:t>otic</w:t>
      </w:r>
      <w:proofErr w:type="spellEnd"/>
      <w:r w:rsidRPr="008E2B3B">
        <w:rPr>
          <w:rFonts w:eastAsia="宋体"/>
          <w:kern w:val="0"/>
          <w:szCs w:val="20"/>
        </w:rPr>
        <w:t xml:space="preserve"> </w:t>
      </w:r>
      <w:r w:rsidRPr="008E2B3B">
        <w:rPr>
          <w:rFonts w:eastAsia="宋体"/>
          <w:kern w:val="0"/>
          <w:szCs w:val="20"/>
        </w:rPr>
        <w:t>药物：</w:t>
      </w:r>
      <w:r w:rsidRPr="008E2B3B">
        <w:rPr>
          <w:rFonts w:eastAsia="宋体"/>
          <w:kern w:val="0"/>
          <w:szCs w:val="20"/>
        </w:rPr>
        <w:t xml:space="preserve"> </w:t>
      </w:r>
      <w:r w:rsidRPr="008E2B3B">
        <w:rPr>
          <w:rFonts w:eastAsia="宋体"/>
          <w:kern w:val="0"/>
          <w:szCs w:val="20"/>
        </w:rPr>
        <w:t>关于确定和应用允许的每日接触</w:t>
      </w:r>
      <w:r w:rsidRPr="008E2B3B">
        <w:rPr>
          <w:rFonts w:eastAsia="宋体"/>
          <w:kern w:val="0"/>
          <w:szCs w:val="20"/>
        </w:rPr>
        <w:t xml:space="preserve"> </w:t>
      </w:r>
      <w:r w:rsidRPr="008E2B3B">
        <w:rPr>
          <w:rFonts w:eastAsia="宋体"/>
          <w:kern w:val="0"/>
          <w:szCs w:val="20"/>
        </w:rPr>
        <w:t>（</w:t>
      </w:r>
      <w:r w:rsidRPr="008E2B3B">
        <w:rPr>
          <w:rFonts w:eastAsia="宋体"/>
          <w:kern w:val="0"/>
          <w:szCs w:val="20"/>
        </w:rPr>
        <w:t>PDE</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的指南，</w:t>
      </w:r>
      <w:r w:rsidRPr="008E2B3B">
        <w:rPr>
          <w:rFonts w:eastAsia="宋体"/>
          <w:kern w:val="0"/>
          <w:szCs w:val="20"/>
        </w:rPr>
        <w:t>"Pharm Dev Technol</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23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3 </w:t>
      </w:r>
      <w:r w:rsidRPr="008E2B3B">
        <w:rPr>
          <w:rFonts w:eastAsia="宋体"/>
          <w:kern w:val="0"/>
          <w:szCs w:val="20"/>
        </w:rPr>
        <w:t>号，</w:t>
      </w:r>
      <w:r w:rsidRPr="008E2B3B">
        <w:rPr>
          <w:rFonts w:eastAsia="宋体"/>
          <w:kern w:val="0"/>
          <w:szCs w:val="20"/>
        </w:rPr>
        <w:t xml:space="preserve"> 2018 </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261-264 </w:t>
      </w:r>
      <w:r w:rsidRPr="008E2B3B">
        <w:rPr>
          <w:rFonts w:eastAsia="宋体"/>
          <w:kern w:val="0"/>
          <w:szCs w:val="20"/>
        </w:rPr>
        <w:t>页。</w:t>
      </w:r>
    </w:p>
    <w:p w14:paraId="687C3D3B"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117</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连，</w:t>
      </w:r>
      <w:r w:rsidRPr="008E2B3B">
        <w:rPr>
          <w:rFonts w:eastAsia="宋体"/>
          <w:kern w:val="0"/>
          <w:szCs w:val="20"/>
        </w:rPr>
        <w:t xml:space="preserve"> G.</w:t>
      </w:r>
      <w:r w:rsidRPr="008E2B3B">
        <w:rPr>
          <w:rFonts w:eastAsia="宋体"/>
          <w:kern w:val="0"/>
          <w:szCs w:val="20"/>
        </w:rPr>
        <w:t>，</w:t>
      </w:r>
      <w:r w:rsidRPr="008E2B3B">
        <w:rPr>
          <w:rFonts w:eastAsia="宋体"/>
          <w:kern w:val="0"/>
          <w:szCs w:val="20"/>
        </w:rPr>
        <w:t xml:space="preserve"> </w:t>
      </w:r>
      <w:r w:rsidRPr="008E2B3B">
        <w:rPr>
          <w:rFonts w:eastAsia="宋体"/>
          <w:kern w:val="0"/>
          <w:szCs w:val="20"/>
        </w:rPr>
        <w:t>陈，</w:t>
      </w:r>
      <w:r w:rsidRPr="008E2B3B">
        <w:rPr>
          <w:rFonts w:eastAsia="宋体"/>
          <w:kern w:val="0"/>
          <w:szCs w:val="20"/>
        </w:rPr>
        <w:t xml:space="preserve"> L. </w:t>
      </w:r>
      <w:r w:rsidRPr="008E2B3B">
        <w:rPr>
          <w:rFonts w:eastAsia="宋体"/>
          <w:kern w:val="0"/>
          <w:szCs w:val="20"/>
        </w:rPr>
        <w:t>和</w:t>
      </w:r>
      <w:r w:rsidRPr="008E2B3B">
        <w:rPr>
          <w:rFonts w:eastAsia="宋体"/>
          <w:kern w:val="0"/>
          <w:szCs w:val="20"/>
        </w:rPr>
        <w:t xml:space="preserve"> Han</w:t>
      </w:r>
      <w:r w:rsidRPr="008E2B3B">
        <w:rPr>
          <w:rFonts w:eastAsia="宋体"/>
          <w:kern w:val="0"/>
          <w:szCs w:val="20"/>
        </w:rPr>
        <w:t>，</w:t>
      </w:r>
      <w:r w:rsidRPr="008E2B3B">
        <w:rPr>
          <w:rFonts w:eastAsia="宋体"/>
          <w:kern w:val="0"/>
          <w:szCs w:val="20"/>
        </w:rPr>
        <w:t xml:space="preserve"> L.</w:t>
      </w:r>
      <w:r w:rsidRPr="008E2B3B">
        <w:rPr>
          <w:rFonts w:eastAsia="宋体"/>
          <w:kern w:val="0"/>
          <w:szCs w:val="20"/>
        </w:rPr>
        <w:t>，</w:t>
      </w:r>
      <w:r w:rsidRPr="008E2B3B">
        <w:rPr>
          <w:rFonts w:eastAsia="宋体"/>
          <w:kern w:val="0"/>
          <w:szCs w:val="20"/>
        </w:rPr>
        <w:t xml:space="preserve">" </w:t>
      </w:r>
      <w:r w:rsidRPr="008E2B3B">
        <w:rPr>
          <w:rFonts w:eastAsia="宋体"/>
          <w:kern w:val="0"/>
          <w:szCs w:val="20"/>
        </w:rPr>
        <w:t>预测皮肤渗透性数学模型的评估，</w:t>
      </w:r>
      <w:r w:rsidRPr="008E2B3B">
        <w:rPr>
          <w:rFonts w:eastAsia="宋体"/>
          <w:kern w:val="0"/>
          <w:szCs w:val="20"/>
        </w:rPr>
        <w:t>" J Pharm Sci</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97 </w:t>
      </w:r>
      <w:r w:rsidRPr="008E2B3B">
        <w:rPr>
          <w:rFonts w:eastAsia="宋体"/>
          <w:kern w:val="0"/>
          <w:szCs w:val="20"/>
        </w:rPr>
        <w:t>卷，</w:t>
      </w:r>
      <w:r w:rsidRPr="008E2B3B">
        <w:rPr>
          <w:rFonts w:eastAsia="宋体"/>
          <w:kern w:val="0"/>
          <w:szCs w:val="20"/>
        </w:rPr>
        <w:t xml:space="preserve"> 2008 </w:t>
      </w:r>
      <w:r w:rsidRPr="008E2B3B">
        <w:rPr>
          <w:rFonts w:eastAsia="宋体"/>
          <w:kern w:val="0"/>
          <w:szCs w:val="20"/>
        </w:rPr>
        <w:t>年第</w:t>
      </w:r>
      <w:r w:rsidRPr="008E2B3B">
        <w:rPr>
          <w:rFonts w:eastAsia="宋体"/>
          <w:kern w:val="0"/>
          <w:szCs w:val="20"/>
        </w:rPr>
        <w:t xml:space="preserve"> 1 </w:t>
      </w:r>
      <w:r w:rsidRPr="008E2B3B">
        <w:rPr>
          <w:rFonts w:eastAsia="宋体"/>
          <w:kern w:val="0"/>
          <w:szCs w:val="20"/>
        </w:rPr>
        <w:t>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584-598 </w:t>
      </w:r>
      <w:r w:rsidRPr="008E2B3B">
        <w:rPr>
          <w:rFonts w:eastAsia="宋体"/>
          <w:kern w:val="0"/>
          <w:szCs w:val="20"/>
        </w:rPr>
        <w:t>页。</w:t>
      </w:r>
    </w:p>
    <w:p w14:paraId="0146019D"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118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口头吸入和鼻药产品中可萃取物和浸出物的安全阈值和最佳做法，弗吉尼亚州阿灵顿产品质量研究所，</w:t>
      </w:r>
      <w:r w:rsidRPr="008E2B3B">
        <w:rPr>
          <w:rFonts w:eastAsia="宋体"/>
          <w:kern w:val="0"/>
          <w:szCs w:val="20"/>
        </w:rPr>
        <w:t>2006</w:t>
      </w:r>
      <w:r w:rsidRPr="008E2B3B">
        <w:rPr>
          <w:rFonts w:eastAsia="宋体"/>
          <w:kern w:val="0"/>
          <w:szCs w:val="20"/>
        </w:rPr>
        <w:t>年，第</w:t>
      </w:r>
      <w:r w:rsidRPr="008E2B3B">
        <w:rPr>
          <w:rFonts w:eastAsia="宋体"/>
          <w:kern w:val="0"/>
          <w:szCs w:val="20"/>
        </w:rPr>
        <w:t>272</w:t>
      </w:r>
      <w:r w:rsidRPr="008E2B3B">
        <w:rPr>
          <w:rFonts w:eastAsia="宋体"/>
          <w:kern w:val="0"/>
          <w:szCs w:val="20"/>
        </w:rPr>
        <w:t>位。</w:t>
      </w:r>
    </w:p>
    <w:p w14:paraId="75B89D34"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119</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Bercu</w:t>
      </w:r>
      <w:proofErr w:type="spellEnd"/>
      <w:r w:rsidRPr="008E2B3B">
        <w:rPr>
          <w:rFonts w:eastAsia="宋体"/>
          <w:kern w:val="0"/>
          <w:szCs w:val="20"/>
        </w:rPr>
        <w:t>，</w:t>
      </w:r>
      <w:r w:rsidRPr="008E2B3B">
        <w:rPr>
          <w:rFonts w:eastAsia="宋体"/>
          <w:kern w:val="0"/>
          <w:szCs w:val="20"/>
        </w:rPr>
        <w:t xml:space="preserve"> J. P.</w:t>
      </w:r>
      <w:r w:rsidRPr="008E2B3B">
        <w:rPr>
          <w:rFonts w:eastAsia="宋体"/>
          <w:kern w:val="0"/>
          <w:szCs w:val="20"/>
        </w:rPr>
        <w:t>，</w:t>
      </w:r>
      <w:r w:rsidRPr="008E2B3B">
        <w:rPr>
          <w:rFonts w:eastAsia="宋体"/>
          <w:kern w:val="0"/>
          <w:szCs w:val="20"/>
        </w:rPr>
        <w:t xml:space="preserve"> </w:t>
      </w:r>
      <w:proofErr w:type="spellStart"/>
      <w:r w:rsidRPr="008E2B3B">
        <w:rPr>
          <w:rFonts w:eastAsia="宋体"/>
          <w:kern w:val="0"/>
          <w:szCs w:val="20"/>
        </w:rPr>
        <w:t>Sharnez</w:t>
      </w:r>
      <w:proofErr w:type="spellEnd"/>
      <w:r w:rsidRPr="008E2B3B">
        <w:rPr>
          <w:rFonts w:eastAsia="宋体"/>
          <w:kern w:val="0"/>
          <w:szCs w:val="20"/>
        </w:rPr>
        <w:t>，</w:t>
      </w:r>
      <w:r w:rsidRPr="008E2B3B">
        <w:rPr>
          <w:rFonts w:eastAsia="宋体"/>
          <w:kern w:val="0"/>
          <w:szCs w:val="20"/>
        </w:rPr>
        <w:t xml:space="preserve"> R. </w:t>
      </w:r>
      <w:r w:rsidRPr="008E2B3B">
        <w:rPr>
          <w:rFonts w:eastAsia="宋体"/>
          <w:kern w:val="0"/>
          <w:szCs w:val="20"/>
        </w:rPr>
        <w:t>和</w:t>
      </w:r>
      <w:r w:rsidRPr="008E2B3B">
        <w:rPr>
          <w:rFonts w:eastAsia="宋体"/>
          <w:kern w:val="0"/>
          <w:szCs w:val="20"/>
        </w:rPr>
        <w:t xml:space="preserve"> Dolan</w:t>
      </w:r>
      <w:r w:rsidRPr="008E2B3B">
        <w:rPr>
          <w:rFonts w:eastAsia="宋体"/>
          <w:kern w:val="0"/>
          <w:szCs w:val="20"/>
        </w:rPr>
        <w:t>，</w:t>
      </w:r>
      <w:r w:rsidRPr="008E2B3B">
        <w:rPr>
          <w:rFonts w:eastAsia="宋体"/>
          <w:kern w:val="0"/>
          <w:szCs w:val="20"/>
        </w:rPr>
        <w:t xml:space="preserve"> D. G.</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在风险</w:t>
      </w:r>
      <w:r w:rsidRPr="008E2B3B">
        <w:rPr>
          <w:rFonts w:eastAsia="宋体"/>
          <w:kern w:val="0"/>
          <w:szCs w:val="20"/>
        </w:rPr>
        <w:t>-</w:t>
      </w:r>
      <w:proofErr w:type="spellStart"/>
      <w:r w:rsidRPr="008E2B3B">
        <w:rPr>
          <w:rFonts w:eastAsia="宋体"/>
          <w:kern w:val="0"/>
          <w:szCs w:val="20"/>
        </w:rPr>
        <w:t>MaPP</w:t>
      </w:r>
      <w:proofErr w:type="spellEnd"/>
      <w:r w:rsidRPr="008E2B3B">
        <w:rPr>
          <w:rFonts w:eastAsia="宋体"/>
          <w:kern w:val="0"/>
          <w:szCs w:val="20"/>
        </w:rPr>
        <w:t>中促进毒理学：</w:t>
      </w:r>
      <w:r w:rsidRPr="008E2B3B">
        <w:rPr>
          <w:rFonts w:eastAsia="宋体"/>
          <w:kern w:val="0"/>
          <w:szCs w:val="20"/>
        </w:rPr>
        <w:t xml:space="preserve"> </w:t>
      </w:r>
      <w:r w:rsidRPr="008E2B3B">
        <w:rPr>
          <w:rFonts w:eastAsia="宋体"/>
          <w:kern w:val="0"/>
          <w:szCs w:val="20"/>
        </w:rPr>
        <w:t>根据随后的</w:t>
      </w:r>
      <w:r w:rsidRPr="008E2B3B">
        <w:rPr>
          <w:rFonts w:eastAsia="宋体"/>
          <w:kern w:val="0"/>
          <w:szCs w:val="20"/>
        </w:rPr>
        <w:lastRenderedPageBreak/>
        <w:t>药物物质设置</w:t>
      </w:r>
      <w:r w:rsidRPr="008E2B3B">
        <w:rPr>
          <w:rFonts w:eastAsia="宋体"/>
          <w:kern w:val="0"/>
          <w:szCs w:val="20"/>
        </w:rPr>
        <w:t xml:space="preserve"> ADEs" </w:t>
      </w:r>
      <w:r w:rsidRPr="008E2B3B">
        <w:rPr>
          <w:rFonts w:eastAsia="宋体"/>
          <w:kern w:val="0"/>
          <w:szCs w:val="20"/>
        </w:rPr>
        <w:t>雷古尔毒醇药精，</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65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 </w:t>
      </w:r>
      <w:r w:rsidRPr="008E2B3B">
        <w:rPr>
          <w:rFonts w:eastAsia="宋体"/>
          <w:kern w:val="0"/>
          <w:szCs w:val="20"/>
        </w:rPr>
        <w:t>号，</w:t>
      </w:r>
      <w:r w:rsidRPr="008E2B3B">
        <w:rPr>
          <w:rFonts w:eastAsia="宋体"/>
          <w:kern w:val="0"/>
          <w:szCs w:val="20"/>
        </w:rPr>
        <w:t xml:space="preserve"> 2013 </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157 -161 </w:t>
      </w:r>
      <w:r w:rsidRPr="008E2B3B">
        <w:rPr>
          <w:rFonts w:eastAsia="宋体"/>
          <w:kern w:val="0"/>
          <w:szCs w:val="20"/>
        </w:rPr>
        <w:t>页</w:t>
      </w:r>
      <w:r w:rsidRPr="008E2B3B">
        <w:rPr>
          <w:rFonts w:eastAsia="宋体"/>
          <w:kern w:val="0"/>
          <w:szCs w:val="20"/>
        </w:rPr>
        <w:t>.</w:t>
      </w:r>
    </w:p>
    <w:p w14:paraId="4673C46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120</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Bercu</w:t>
      </w:r>
      <w:proofErr w:type="spellEnd"/>
      <w:r w:rsidRPr="008E2B3B">
        <w:rPr>
          <w:rFonts w:eastAsia="宋体"/>
          <w:kern w:val="0"/>
          <w:szCs w:val="20"/>
        </w:rPr>
        <w:t>，</w:t>
      </w:r>
      <w:r w:rsidRPr="008E2B3B">
        <w:rPr>
          <w:rFonts w:eastAsia="宋体"/>
          <w:kern w:val="0"/>
          <w:szCs w:val="20"/>
        </w:rPr>
        <w:t xml:space="preserve"> J. P. </w:t>
      </w:r>
      <w:r w:rsidRPr="008E2B3B">
        <w:rPr>
          <w:rFonts w:eastAsia="宋体"/>
          <w:kern w:val="0"/>
          <w:szCs w:val="20"/>
        </w:rPr>
        <w:t>和</w:t>
      </w:r>
      <w:r w:rsidRPr="008E2B3B">
        <w:rPr>
          <w:rFonts w:eastAsia="宋体"/>
          <w:kern w:val="0"/>
          <w:szCs w:val="20"/>
        </w:rPr>
        <w:t xml:space="preserve"> Dolan</w:t>
      </w:r>
      <w:r w:rsidRPr="008E2B3B">
        <w:rPr>
          <w:rFonts w:eastAsia="宋体"/>
          <w:kern w:val="0"/>
          <w:szCs w:val="20"/>
        </w:rPr>
        <w:t>，</w:t>
      </w:r>
      <w:r w:rsidRPr="008E2B3B">
        <w:rPr>
          <w:rFonts w:eastAsia="宋体"/>
          <w:kern w:val="0"/>
          <w:szCs w:val="20"/>
        </w:rPr>
        <w:t xml:space="preserve"> D. G. "</w:t>
      </w:r>
      <w:r w:rsidRPr="008E2B3B">
        <w:rPr>
          <w:rFonts w:eastAsia="宋体"/>
          <w:kern w:val="0"/>
          <w:szCs w:val="20"/>
        </w:rPr>
        <w:t>在用于用于短期临床试验的制药生产操作时，毒理学关注概念的阈值的应用</w:t>
      </w:r>
      <w:r w:rsidRPr="008E2B3B">
        <w:rPr>
          <w:rFonts w:eastAsia="宋体"/>
          <w:kern w:val="0"/>
          <w:szCs w:val="20"/>
        </w:rPr>
        <w:t>"</w:t>
      </w:r>
      <w:r w:rsidRPr="008E2B3B">
        <w:rPr>
          <w:rFonts w:eastAsia="宋体"/>
          <w:kern w:val="0"/>
          <w:szCs w:val="20"/>
        </w:rPr>
        <w:t>，</w:t>
      </w:r>
      <w:proofErr w:type="spellStart"/>
      <w:r w:rsidRPr="008E2B3B">
        <w:rPr>
          <w:rFonts w:eastAsia="宋体"/>
          <w:kern w:val="0"/>
          <w:szCs w:val="20"/>
        </w:rPr>
        <w:t>Regul</w:t>
      </w:r>
      <w:proofErr w:type="spellEnd"/>
      <w:r w:rsidRPr="008E2B3B">
        <w:rPr>
          <w:rFonts w:eastAsia="宋体"/>
          <w:kern w:val="0"/>
          <w:szCs w:val="20"/>
        </w:rPr>
        <w:t xml:space="preserve"> </w:t>
      </w:r>
      <w:r w:rsidRPr="008E2B3B">
        <w:rPr>
          <w:rFonts w:eastAsia="宋体"/>
          <w:kern w:val="0"/>
          <w:szCs w:val="20"/>
        </w:rPr>
        <w:t>毒理醇药剂，第</w:t>
      </w:r>
      <w:r w:rsidRPr="008E2B3B">
        <w:rPr>
          <w:rFonts w:eastAsia="宋体"/>
          <w:kern w:val="0"/>
          <w:szCs w:val="20"/>
        </w:rPr>
        <w:t xml:space="preserve"> 65 </w:t>
      </w:r>
      <w:r w:rsidRPr="008E2B3B">
        <w:rPr>
          <w:rFonts w:eastAsia="宋体"/>
          <w:kern w:val="0"/>
          <w:szCs w:val="20"/>
        </w:rPr>
        <w:t>卷，第</w:t>
      </w:r>
      <w:r w:rsidRPr="008E2B3B">
        <w:rPr>
          <w:rFonts w:eastAsia="宋体"/>
          <w:kern w:val="0"/>
          <w:szCs w:val="20"/>
        </w:rPr>
        <w:t xml:space="preserve"> 1 </w:t>
      </w:r>
      <w:r w:rsidRPr="008E2B3B">
        <w:rPr>
          <w:rFonts w:eastAsia="宋体"/>
          <w:kern w:val="0"/>
          <w:szCs w:val="20"/>
        </w:rPr>
        <w:t>号，</w:t>
      </w:r>
      <w:r w:rsidRPr="008E2B3B">
        <w:rPr>
          <w:rFonts w:eastAsia="宋体"/>
          <w:kern w:val="0"/>
          <w:szCs w:val="20"/>
        </w:rPr>
        <w:t xml:space="preserve">2013 </w:t>
      </w:r>
      <w:r w:rsidRPr="008E2B3B">
        <w:rPr>
          <w:rFonts w:eastAsia="宋体"/>
          <w:kern w:val="0"/>
          <w:szCs w:val="20"/>
        </w:rPr>
        <w:t>年，第</w:t>
      </w:r>
      <w:r w:rsidRPr="008E2B3B">
        <w:rPr>
          <w:rFonts w:eastAsia="宋体"/>
          <w:kern w:val="0"/>
          <w:szCs w:val="20"/>
        </w:rPr>
        <w:t xml:space="preserve"> 162-167 </w:t>
      </w:r>
      <w:r w:rsidRPr="008E2B3B">
        <w:rPr>
          <w:rFonts w:eastAsia="宋体"/>
          <w:kern w:val="0"/>
          <w:szCs w:val="20"/>
        </w:rPr>
        <w:t>页。</w:t>
      </w:r>
    </w:p>
    <w:p w14:paraId="6243B4F5"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121</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行业指南：非青霉素</w:t>
      </w:r>
      <w:r w:rsidRPr="008E2B3B">
        <w:rPr>
          <w:rFonts w:eastAsia="宋体"/>
          <w:kern w:val="0"/>
          <w:szCs w:val="20"/>
        </w:rPr>
        <w:t>β-</w:t>
      </w:r>
      <w:r w:rsidRPr="008E2B3B">
        <w:rPr>
          <w:rFonts w:eastAsia="宋体"/>
          <w:kern w:val="0"/>
          <w:szCs w:val="20"/>
        </w:rPr>
        <w:t>乳酸药物：防止交叉污染的</w:t>
      </w:r>
      <w:r w:rsidRPr="008E2B3B">
        <w:rPr>
          <w:rFonts w:eastAsia="宋体"/>
          <w:kern w:val="0"/>
          <w:szCs w:val="20"/>
        </w:rPr>
        <w:t>CGMP</w:t>
      </w:r>
      <w:r w:rsidRPr="008E2B3B">
        <w:rPr>
          <w:rFonts w:eastAsia="宋体"/>
          <w:kern w:val="0"/>
          <w:szCs w:val="20"/>
        </w:rPr>
        <w:t>框架，美国卫生与人类服务部，食品和药物</w:t>
      </w:r>
    </w:p>
    <w:p w14:paraId="5A8204A7" w14:textId="77777777" w:rsidR="00EC1A52" w:rsidRPr="008E2B3B" w:rsidRDefault="00EC1A52" w:rsidP="00EC1A52">
      <w:pPr>
        <w:spacing w:after="13" w:line="256" w:lineRule="auto"/>
        <w:ind w:left="452" w:firstLine="0"/>
        <w:jc w:val="left"/>
        <w:rPr>
          <w:rFonts w:eastAsia="宋体"/>
          <w:kern w:val="0"/>
          <w:szCs w:val="20"/>
        </w:rPr>
      </w:pPr>
      <w:r w:rsidRPr="008E2B3B">
        <w:rPr>
          <w:rFonts w:eastAsia="宋体"/>
          <w:kern w:val="0"/>
          <w:szCs w:val="20"/>
        </w:rPr>
        <w:t>行政，</w:t>
      </w:r>
      <w:r w:rsidRPr="008E2B3B">
        <w:rPr>
          <w:rFonts w:eastAsia="宋体"/>
          <w:kern w:val="0"/>
          <w:szCs w:val="20"/>
        </w:rPr>
        <w:t xml:space="preserve"> </w:t>
      </w:r>
      <w:r w:rsidRPr="008E2B3B">
        <w:rPr>
          <w:rFonts w:eastAsia="宋体"/>
          <w:kern w:val="0"/>
          <w:szCs w:val="20"/>
        </w:rPr>
        <w:t>药物评估和研究中心</w:t>
      </w:r>
      <w:r w:rsidRPr="008E2B3B">
        <w:rPr>
          <w:rFonts w:eastAsia="宋体"/>
          <w:kern w:val="0"/>
          <w:szCs w:val="20"/>
        </w:rPr>
        <w:t xml:space="preserve"> </w:t>
      </w:r>
      <w:r w:rsidRPr="008E2B3B">
        <w:rPr>
          <w:rFonts w:eastAsia="宋体"/>
          <w:kern w:val="0"/>
          <w:szCs w:val="20"/>
        </w:rPr>
        <w:t>（</w:t>
      </w:r>
      <w:r w:rsidRPr="008E2B3B">
        <w:rPr>
          <w:rFonts w:eastAsia="宋体"/>
          <w:kern w:val="0"/>
          <w:szCs w:val="20"/>
        </w:rPr>
        <w:t>CDER</w:t>
      </w:r>
      <w:r w:rsidRPr="008E2B3B">
        <w:rPr>
          <w:rFonts w:eastAsia="宋体"/>
          <w:kern w:val="0"/>
          <w:szCs w:val="20"/>
        </w:rPr>
        <w:t>），</w:t>
      </w:r>
      <w:r w:rsidRPr="008E2B3B">
        <w:rPr>
          <w:rFonts w:eastAsia="宋体"/>
          <w:kern w:val="0"/>
          <w:szCs w:val="20"/>
        </w:rPr>
        <w:t xml:space="preserve"> </w:t>
      </w:r>
      <w:r w:rsidRPr="008E2B3B">
        <w:rPr>
          <w:rFonts w:eastAsia="宋体"/>
          <w:kern w:val="0"/>
          <w:szCs w:val="20"/>
        </w:rPr>
        <w:t>银泉，</w:t>
      </w:r>
      <w:r w:rsidRPr="008E2B3B">
        <w:rPr>
          <w:rFonts w:eastAsia="宋体"/>
          <w:kern w:val="0"/>
          <w:szCs w:val="20"/>
        </w:rPr>
        <w:t xml:space="preserve"> </w:t>
      </w:r>
      <w:r w:rsidRPr="008E2B3B">
        <w:rPr>
          <w:rFonts w:eastAsia="宋体"/>
          <w:kern w:val="0"/>
          <w:szCs w:val="20"/>
        </w:rPr>
        <w:t>医学博士，</w:t>
      </w:r>
      <w:r w:rsidRPr="008E2B3B">
        <w:rPr>
          <w:rFonts w:eastAsia="宋体"/>
          <w:kern w:val="0"/>
          <w:szCs w:val="20"/>
        </w:rPr>
        <w:t xml:space="preserve"> 2013</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10.</w:t>
      </w:r>
    </w:p>
    <w:p w14:paraId="48F958DA"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122</w:t>
      </w:r>
      <w:r w:rsidRPr="008E2B3B">
        <w:rPr>
          <w:rFonts w:eastAsia="宋体"/>
          <w:b/>
          <w:bCs/>
          <w:color w:val="FF0000"/>
          <w:kern w:val="0"/>
          <w:szCs w:val="20"/>
        </w:rPr>
        <w:t>）</w:t>
      </w:r>
      <w:r w:rsidRPr="008E2B3B">
        <w:rPr>
          <w:rFonts w:eastAsia="宋体"/>
          <w:b/>
          <w:bCs/>
          <w:color w:val="FF0000"/>
          <w:kern w:val="0"/>
          <w:szCs w:val="20"/>
        </w:rPr>
        <w:t xml:space="preserve"> </w:t>
      </w:r>
      <w:proofErr w:type="gramStart"/>
      <w:r w:rsidRPr="008E2B3B">
        <w:rPr>
          <w:rFonts w:eastAsia="宋体"/>
          <w:kern w:val="0"/>
          <w:szCs w:val="20"/>
        </w:rPr>
        <w:t>世</w:t>
      </w:r>
      <w:proofErr w:type="gramEnd"/>
      <w:r w:rsidRPr="008E2B3B">
        <w:rPr>
          <w:rFonts w:eastAsia="宋体"/>
          <w:kern w:val="0"/>
          <w:szCs w:val="20"/>
        </w:rPr>
        <w:t>卫组织药品良好生产规范：主要原则，</w:t>
      </w:r>
      <w:proofErr w:type="gramStart"/>
      <w:r w:rsidRPr="008E2B3B">
        <w:rPr>
          <w:rFonts w:eastAsia="宋体"/>
          <w:kern w:val="0"/>
          <w:szCs w:val="20"/>
        </w:rPr>
        <w:t>世</w:t>
      </w:r>
      <w:proofErr w:type="gramEnd"/>
      <w:r w:rsidRPr="008E2B3B">
        <w:rPr>
          <w:rFonts w:eastAsia="宋体"/>
          <w:kern w:val="0"/>
          <w:szCs w:val="20"/>
        </w:rPr>
        <w:t>卫组织技术报告系列，第</w:t>
      </w:r>
      <w:r w:rsidRPr="008E2B3B">
        <w:rPr>
          <w:rFonts w:eastAsia="宋体"/>
          <w:kern w:val="0"/>
          <w:szCs w:val="20"/>
        </w:rPr>
        <w:t>986</w:t>
      </w:r>
      <w:r w:rsidRPr="008E2B3B">
        <w:rPr>
          <w:rFonts w:eastAsia="宋体"/>
          <w:kern w:val="0"/>
          <w:szCs w:val="20"/>
        </w:rPr>
        <w:t>号，附件</w:t>
      </w:r>
      <w:r w:rsidRPr="008E2B3B">
        <w:rPr>
          <w:rFonts w:eastAsia="宋体"/>
          <w:kern w:val="0"/>
          <w:szCs w:val="20"/>
        </w:rPr>
        <w:t>2</w:t>
      </w:r>
      <w:r w:rsidRPr="008E2B3B">
        <w:rPr>
          <w:rFonts w:eastAsia="宋体"/>
          <w:kern w:val="0"/>
          <w:szCs w:val="20"/>
        </w:rPr>
        <w:t>，</w:t>
      </w:r>
      <w:r w:rsidRPr="008E2B3B">
        <w:rPr>
          <w:rFonts w:eastAsia="宋体"/>
          <w:kern w:val="0"/>
          <w:szCs w:val="20"/>
        </w:rPr>
        <w:t>2014</w:t>
      </w:r>
      <w:r w:rsidRPr="008E2B3B">
        <w:rPr>
          <w:rFonts w:eastAsia="宋体"/>
          <w:kern w:val="0"/>
          <w:szCs w:val="20"/>
        </w:rPr>
        <w:t>年。</w:t>
      </w:r>
    </w:p>
    <w:p w14:paraId="20D28966"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123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Cochrane</w:t>
      </w:r>
      <w:r w:rsidRPr="008E2B3B">
        <w:rPr>
          <w:rFonts w:eastAsia="宋体"/>
          <w:kern w:val="0"/>
          <w:szCs w:val="20"/>
        </w:rPr>
        <w:t>，</w:t>
      </w:r>
      <w:r w:rsidRPr="008E2B3B">
        <w:rPr>
          <w:rFonts w:eastAsia="宋体"/>
          <w:kern w:val="0"/>
          <w:szCs w:val="20"/>
        </w:rPr>
        <w:t xml:space="preserve"> S. A. </w:t>
      </w:r>
      <w:r w:rsidRPr="008E2B3B">
        <w:rPr>
          <w:rFonts w:eastAsia="宋体"/>
          <w:kern w:val="0"/>
          <w:szCs w:val="20"/>
        </w:rPr>
        <w:t>等人，</w:t>
      </w:r>
      <w:r w:rsidRPr="008E2B3B">
        <w:rPr>
          <w:rFonts w:eastAsia="宋体"/>
          <w:kern w:val="0"/>
          <w:szCs w:val="20"/>
        </w:rPr>
        <w:t>"</w:t>
      </w:r>
      <w:r w:rsidRPr="008E2B3B">
        <w:rPr>
          <w:rFonts w:eastAsia="宋体"/>
          <w:kern w:val="0"/>
          <w:szCs w:val="20"/>
        </w:rPr>
        <w:t>化学呼吸敏感阈值</w:t>
      </w:r>
      <w:r w:rsidRPr="008E2B3B">
        <w:rPr>
          <w:rFonts w:eastAsia="宋体"/>
          <w:kern w:val="0"/>
          <w:szCs w:val="20"/>
        </w:rPr>
        <w:t>"</w:t>
      </w:r>
      <w:r w:rsidRPr="008E2B3B">
        <w:rPr>
          <w:rFonts w:eastAsia="宋体"/>
          <w:kern w:val="0"/>
          <w:szCs w:val="20"/>
        </w:rPr>
        <w:t>，毒理学，第</w:t>
      </w:r>
      <w:r w:rsidRPr="008E2B3B">
        <w:rPr>
          <w:rFonts w:eastAsia="宋体"/>
          <w:kern w:val="0"/>
          <w:szCs w:val="20"/>
        </w:rPr>
        <w:t>333</w:t>
      </w:r>
      <w:r w:rsidRPr="008E2B3B">
        <w:rPr>
          <w:rFonts w:eastAsia="宋体"/>
          <w:kern w:val="0"/>
          <w:szCs w:val="20"/>
        </w:rPr>
        <w:t>卷，</w:t>
      </w:r>
      <w:r w:rsidRPr="008E2B3B">
        <w:rPr>
          <w:rFonts w:eastAsia="宋体"/>
          <w:kern w:val="0"/>
          <w:szCs w:val="20"/>
        </w:rPr>
        <w:t>2015</w:t>
      </w:r>
      <w:r w:rsidRPr="008E2B3B">
        <w:rPr>
          <w:rFonts w:eastAsia="宋体"/>
          <w:kern w:val="0"/>
          <w:szCs w:val="20"/>
        </w:rPr>
        <w:t>年，第</w:t>
      </w:r>
      <w:r w:rsidRPr="008E2B3B">
        <w:rPr>
          <w:rFonts w:eastAsia="宋体"/>
          <w:kern w:val="0"/>
          <w:szCs w:val="20"/>
        </w:rPr>
        <w:t>179-194</w:t>
      </w:r>
      <w:r w:rsidRPr="008E2B3B">
        <w:rPr>
          <w:rFonts w:eastAsia="宋体"/>
          <w:kern w:val="0"/>
          <w:szCs w:val="20"/>
        </w:rPr>
        <w:t>页。</w:t>
      </w:r>
    </w:p>
    <w:p w14:paraId="47EDDE9A"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124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药品良好制造实践指南。第一部分，《药品检验公约》，《药品检验合作计划》，瑞士日内瓦，</w:t>
      </w:r>
      <w:r w:rsidRPr="008E2B3B">
        <w:rPr>
          <w:rFonts w:eastAsia="宋体"/>
          <w:kern w:val="0"/>
          <w:szCs w:val="20"/>
        </w:rPr>
        <w:t>2018</w:t>
      </w:r>
      <w:r w:rsidRPr="008E2B3B">
        <w:rPr>
          <w:rFonts w:eastAsia="宋体"/>
          <w:kern w:val="0"/>
          <w:szCs w:val="20"/>
        </w:rPr>
        <w:t>年。</w:t>
      </w:r>
    </w:p>
    <w:p w14:paraId="0B819DE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125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Sussman</w:t>
      </w:r>
      <w:r w:rsidRPr="008E2B3B">
        <w:rPr>
          <w:rFonts w:eastAsia="宋体"/>
          <w:kern w:val="0"/>
          <w:szCs w:val="20"/>
        </w:rPr>
        <w:t>，</w:t>
      </w:r>
      <w:r w:rsidRPr="008E2B3B">
        <w:rPr>
          <w:rFonts w:eastAsia="宋体"/>
          <w:kern w:val="0"/>
          <w:szCs w:val="20"/>
        </w:rPr>
        <w:t xml:space="preserve"> R. G.</w:t>
      </w:r>
      <w:r w:rsidRPr="008E2B3B">
        <w:rPr>
          <w:rFonts w:eastAsia="宋体"/>
          <w:kern w:val="0"/>
          <w:szCs w:val="20"/>
        </w:rPr>
        <w:t>等人，</w:t>
      </w:r>
      <w:r w:rsidRPr="008E2B3B">
        <w:rPr>
          <w:rFonts w:eastAsia="宋体"/>
          <w:kern w:val="0"/>
          <w:szCs w:val="20"/>
        </w:rPr>
        <w:t>"</w:t>
      </w:r>
      <w:r w:rsidRPr="008E2B3B">
        <w:rPr>
          <w:rFonts w:eastAsia="宋体"/>
          <w:kern w:val="0"/>
          <w:szCs w:val="20"/>
        </w:rPr>
        <w:t>在质量风险管理计划内识别和评估高度危险药物</w:t>
      </w:r>
      <w:r w:rsidRPr="008E2B3B">
        <w:rPr>
          <w:rFonts w:eastAsia="宋体"/>
          <w:kern w:val="0"/>
          <w:szCs w:val="20"/>
        </w:rPr>
        <w:t>"</w:t>
      </w:r>
      <w:r w:rsidRPr="008E2B3B">
        <w:rPr>
          <w:rFonts w:eastAsia="宋体"/>
          <w:kern w:val="0"/>
          <w:szCs w:val="20"/>
        </w:rPr>
        <w:t>，</w:t>
      </w:r>
      <w:proofErr w:type="gramStart"/>
      <w:r w:rsidRPr="008E2B3B">
        <w:rPr>
          <w:rFonts w:eastAsia="宋体"/>
          <w:kern w:val="0"/>
          <w:szCs w:val="20"/>
        </w:rPr>
        <w:t>雷古尔毒醇药精</w:t>
      </w:r>
      <w:proofErr w:type="gramEnd"/>
      <w:r w:rsidRPr="008E2B3B">
        <w:rPr>
          <w:rFonts w:eastAsia="宋体"/>
          <w:kern w:val="0"/>
          <w:szCs w:val="20"/>
        </w:rPr>
        <w:t>，第</w:t>
      </w:r>
      <w:r w:rsidRPr="008E2B3B">
        <w:rPr>
          <w:rFonts w:eastAsia="宋体"/>
          <w:kern w:val="0"/>
          <w:szCs w:val="20"/>
        </w:rPr>
        <w:t>79</w:t>
      </w:r>
      <w:r w:rsidRPr="008E2B3B">
        <w:rPr>
          <w:rFonts w:eastAsia="宋体"/>
          <w:kern w:val="0"/>
          <w:szCs w:val="20"/>
        </w:rPr>
        <w:t>卷，</w:t>
      </w:r>
      <w:r w:rsidRPr="008E2B3B">
        <w:rPr>
          <w:rFonts w:eastAsia="宋体"/>
          <w:kern w:val="0"/>
          <w:szCs w:val="20"/>
        </w:rPr>
        <w:t>Suppl 1</w:t>
      </w:r>
      <w:r w:rsidRPr="008E2B3B">
        <w:rPr>
          <w:rFonts w:eastAsia="宋体"/>
          <w:kern w:val="0"/>
          <w:szCs w:val="20"/>
        </w:rPr>
        <w:t>，</w:t>
      </w:r>
      <w:r w:rsidRPr="008E2B3B">
        <w:rPr>
          <w:rFonts w:eastAsia="宋体"/>
          <w:kern w:val="0"/>
          <w:szCs w:val="20"/>
        </w:rPr>
        <w:t>2016</w:t>
      </w:r>
      <w:r w:rsidRPr="008E2B3B">
        <w:rPr>
          <w:rFonts w:eastAsia="宋体"/>
          <w:kern w:val="0"/>
          <w:szCs w:val="20"/>
        </w:rPr>
        <w:t>，第</w:t>
      </w:r>
      <w:r w:rsidRPr="008E2B3B">
        <w:rPr>
          <w:rFonts w:eastAsia="宋体"/>
          <w:kern w:val="0"/>
          <w:szCs w:val="20"/>
        </w:rPr>
        <w:t>11-S18</w:t>
      </w:r>
      <w:r w:rsidRPr="008E2B3B">
        <w:rPr>
          <w:rFonts w:eastAsia="宋体"/>
          <w:kern w:val="0"/>
          <w:szCs w:val="20"/>
        </w:rPr>
        <w:t>页。</w:t>
      </w:r>
    </w:p>
    <w:p w14:paraId="0693663C"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126</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Winkler</w:t>
      </w:r>
      <w:r w:rsidRPr="008E2B3B">
        <w:rPr>
          <w:rFonts w:eastAsia="宋体"/>
          <w:kern w:val="0"/>
          <w:szCs w:val="20"/>
        </w:rPr>
        <w:t>，</w:t>
      </w:r>
      <w:r w:rsidRPr="008E2B3B">
        <w:rPr>
          <w:rFonts w:eastAsia="宋体"/>
          <w:kern w:val="0"/>
          <w:szCs w:val="20"/>
        </w:rPr>
        <w:t xml:space="preserve"> G. C. </w:t>
      </w:r>
      <w:r w:rsidRPr="008E2B3B">
        <w:rPr>
          <w:rFonts w:eastAsia="宋体"/>
          <w:kern w:val="0"/>
          <w:szCs w:val="20"/>
        </w:rPr>
        <w:t>等人，</w:t>
      </w:r>
      <w:r w:rsidRPr="008E2B3B">
        <w:rPr>
          <w:rFonts w:eastAsia="宋体"/>
          <w:kern w:val="0"/>
          <w:szCs w:val="20"/>
        </w:rPr>
        <w:t>"</w:t>
      </w:r>
      <w:r w:rsidRPr="008E2B3B">
        <w:rPr>
          <w:rFonts w:eastAsia="宋体"/>
          <w:kern w:val="0"/>
          <w:szCs w:val="20"/>
        </w:rPr>
        <w:t>细胞毒性抗癌药物和靶向癌症治疗的功能分化</w:t>
      </w:r>
      <w:r w:rsidRPr="008E2B3B">
        <w:rPr>
          <w:rFonts w:eastAsia="宋体"/>
          <w:kern w:val="0"/>
          <w:szCs w:val="20"/>
        </w:rPr>
        <w:t>"</w:t>
      </w:r>
      <w:r w:rsidRPr="008E2B3B">
        <w:rPr>
          <w:rFonts w:eastAsia="宋体"/>
          <w:kern w:val="0"/>
          <w:szCs w:val="20"/>
        </w:rPr>
        <w:t>，雷古尔毒醇药典，第</w:t>
      </w:r>
      <w:r w:rsidRPr="008E2B3B">
        <w:rPr>
          <w:rFonts w:eastAsia="宋体"/>
          <w:kern w:val="0"/>
          <w:szCs w:val="20"/>
        </w:rPr>
        <w:t>70</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2014</w:t>
      </w:r>
      <w:r w:rsidRPr="008E2B3B">
        <w:rPr>
          <w:rFonts w:eastAsia="宋体"/>
          <w:kern w:val="0"/>
          <w:szCs w:val="20"/>
        </w:rPr>
        <w:t>年，第</w:t>
      </w:r>
      <w:r w:rsidRPr="008E2B3B">
        <w:rPr>
          <w:rFonts w:eastAsia="宋体"/>
          <w:kern w:val="0"/>
          <w:szCs w:val="20"/>
        </w:rPr>
        <w:t>46-53</w:t>
      </w:r>
      <w:r w:rsidRPr="008E2B3B">
        <w:rPr>
          <w:rFonts w:eastAsia="宋体"/>
          <w:kern w:val="0"/>
          <w:szCs w:val="20"/>
        </w:rPr>
        <w:t>页。</w:t>
      </w:r>
    </w:p>
    <w:p w14:paraId="5FC5D1EE"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127</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Liebelt</w:t>
      </w:r>
      <w:proofErr w:type="spellEnd"/>
      <w:r w:rsidRPr="008E2B3B">
        <w:rPr>
          <w:rFonts w:eastAsia="宋体"/>
          <w:kern w:val="0"/>
          <w:szCs w:val="20"/>
        </w:rPr>
        <w:t>，</w:t>
      </w:r>
      <w:r w:rsidRPr="008E2B3B">
        <w:rPr>
          <w:rFonts w:eastAsia="宋体"/>
          <w:kern w:val="0"/>
          <w:szCs w:val="20"/>
        </w:rPr>
        <w:t xml:space="preserve"> E. L. </w:t>
      </w:r>
      <w:r w:rsidRPr="008E2B3B">
        <w:rPr>
          <w:rFonts w:eastAsia="宋体"/>
          <w:kern w:val="0"/>
          <w:szCs w:val="20"/>
        </w:rPr>
        <w:t>和</w:t>
      </w:r>
      <w:r w:rsidRPr="008E2B3B">
        <w:rPr>
          <w:rFonts w:eastAsia="宋体"/>
          <w:kern w:val="0"/>
          <w:szCs w:val="20"/>
        </w:rPr>
        <w:t xml:space="preserve"> Shannon</w:t>
      </w:r>
      <w:r w:rsidRPr="008E2B3B">
        <w:rPr>
          <w:rFonts w:eastAsia="宋体"/>
          <w:kern w:val="0"/>
          <w:szCs w:val="20"/>
        </w:rPr>
        <w:t>，</w:t>
      </w:r>
      <w:r w:rsidRPr="008E2B3B">
        <w:rPr>
          <w:rFonts w:eastAsia="宋体"/>
          <w:kern w:val="0"/>
          <w:szCs w:val="20"/>
        </w:rPr>
        <w:t xml:space="preserve"> M. W.</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小剂量，</w:t>
      </w:r>
      <w:r w:rsidRPr="008E2B3B">
        <w:rPr>
          <w:rFonts w:eastAsia="宋体"/>
          <w:kern w:val="0"/>
          <w:szCs w:val="20"/>
        </w:rPr>
        <w:t xml:space="preserve"> </w:t>
      </w:r>
      <w:r w:rsidRPr="008E2B3B">
        <w:rPr>
          <w:rFonts w:eastAsia="宋体"/>
          <w:kern w:val="0"/>
          <w:szCs w:val="20"/>
        </w:rPr>
        <w:t>大问题：</w:t>
      </w:r>
      <w:r w:rsidRPr="008E2B3B">
        <w:rPr>
          <w:rFonts w:eastAsia="宋体"/>
          <w:kern w:val="0"/>
          <w:szCs w:val="20"/>
        </w:rPr>
        <w:t xml:space="preserve"> </w:t>
      </w:r>
      <w:r w:rsidRPr="008E2B3B">
        <w:rPr>
          <w:rFonts w:eastAsia="宋体"/>
          <w:kern w:val="0"/>
          <w:szCs w:val="20"/>
        </w:rPr>
        <w:t>对剧毒常见药物的选定审查，</w:t>
      </w:r>
      <w:r w:rsidRPr="008E2B3B">
        <w:rPr>
          <w:rFonts w:eastAsia="宋体"/>
          <w:kern w:val="0"/>
          <w:szCs w:val="20"/>
        </w:rPr>
        <w:t xml:space="preserve">" </w:t>
      </w:r>
      <w:proofErr w:type="spellStart"/>
      <w:r w:rsidRPr="008E2B3B">
        <w:rPr>
          <w:rFonts w:eastAsia="宋体"/>
          <w:kern w:val="0"/>
          <w:szCs w:val="20"/>
        </w:rPr>
        <w:t>Pediatr</w:t>
      </w:r>
      <w:proofErr w:type="spellEnd"/>
      <w:r w:rsidRPr="008E2B3B">
        <w:rPr>
          <w:rFonts w:eastAsia="宋体"/>
          <w:kern w:val="0"/>
          <w:szCs w:val="20"/>
        </w:rPr>
        <w:t xml:space="preserve"> </w:t>
      </w:r>
      <w:proofErr w:type="spellStart"/>
      <w:r w:rsidRPr="008E2B3B">
        <w:rPr>
          <w:rFonts w:eastAsia="宋体"/>
          <w:kern w:val="0"/>
          <w:szCs w:val="20"/>
        </w:rPr>
        <w:t>Emerg</w:t>
      </w:r>
      <w:proofErr w:type="spellEnd"/>
      <w:r w:rsidRPr="008E2B3B">
        <w:rPr>
          <w:rFonts w:eastAsia="宋体"/>
          <w:kern w:val="0"/>
          <w:szCs w:val="20"/>
        </w:rPr>
        <w:t xml:space="preserve"> Care</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9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5 </w:t>
      </w:r>
      <w:r w:rsidRPr="008E2B3B">
        <w:rPr>
          <w:rFonts w:eastAsia="宋体"/>
          <w:kern w:val="0"/>
          <w:szCs w:val="20"/>
        </w:rPr>
        <w:t>卷，</w:t>
      </w:r>
      <w:r w:rsidRPr="008E2B3B">
        <w:rPr>
          <w:rFonts w:eastAsia="宋体"/>
          <w:kern w:val="0"/>
          <w:szCs w:val="20"/>
        </w:rPr>
        <w:t xml:space="preserve"> 1993 </w:t>
      </w:r>
      <w:r w:rsidRPr="008E2B3B">
        <w:rPr>
          <w:rFonts w:eastAsia="宋体"/>
          <w:kern w:val="0"/>
          <w:szCs w:val="20"/>
        </w:rPr>
        <w:t>年，</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292-297 </w:t>
      </w:r>
      <w:r w:rsidRPr="008E2B3B">
        <w:rPr>
          <w:rFonts w:eastAsia="宋体"/>
          <w:kern w:val="0"/>
          <w:szCs w:val="20"/>
        </w:rPr>
        <w:t>页。</w:t>
      </w:r>
    </w:p>
    <w:p w14:paraId="431371E6"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128</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施密德，</w:t>
      </w:r>
      <w:r w:rsidRPr="008E2B3B">
        <w:rPr>
          <w:rFonts w:eastAsia="宋体"/>
          <w:kern w:val="0"/>
          <w:szCs w:val="20"/>
        </w:rPr>
        <w:t>B.</w:t>
      </w:r>
      <w:r w:rsidRPr="008E2B3B">
        <w:rPr>
          <w:rFonts w:eastAsia="宋体"/>
          <w:kern w:val="0"/>
          <w:szCs w:val="20"/>
        </w:rPr>
        <w:t>，</w:t>
      </w:r>
      <w:r w:rsidRPr="008E2B3B">
        <w:rPr>
          <w:rFonts w:eastAsia="宋体"/>
          <w:kern w:val="0"/>
          <w:szCs w:val="20"/>
        </w:rPr>
        <w:t>"</w:t>
      </w:r>
      <w:r w:rsidRPr="008E2B3B">
        <w:rPr>
          <w:rFonts w:eastAsia="宋体"/>
          <w:kern w:val="0"/>
          <w:szCs w:val="20"/>
        </w:rPr>
        <w:t>场外（</w:t>
      </w:r>
      <w:r w:rsidRPr="008E2B3B">
        <w:rPr>
          <w:rFonts w:eastAsia="宋体"/>
          <w:kern w:val="0"/>
          <w:szCs w:val="20"/>
        </w:rPr>
        <w:t>OTC</w:t>
      </w:r>
      <w:r w:rsidRPr="008E2B3B">
        <w:rPr>
          <w:rFonts w:eastAsia="宋体"/>
          <w:kern w:val="0"/>
          <w:szCs w:val="20"/>
        </w:rPr>
        <w:t>）产品的安全评估</w:t>
      </w:r>
      <w:r w:rsidRPr="008E2B3B">
        <w:rPr>
          <w:rFonts w:eastAsia="宋体"/>
          <w:kern w:val="0"/>
          <w:szCs w:val="20"/>
        </w:rPr>
        <w:t>"</w:t>
      </w:r>
      <w:r w:rsidRPr="008E2B3B">
        <w:rPr>
          <w:rFonts w:eastAsia="宋体"/>
          <w:kern w:val="0"/>
          <w:szCs w:val="20"/>
        </w:rPr>
        <w:t>，</w:t>
      </w:r>
      <w:r w:rsidRPr="008E2B3B">
        <w:rPr>
          <w:rFonts w:eastAsia="宋体"/>
          <w:kern w:val="0"/>
          <w:szCs w:val="20"/>
        </w:rPr>
        <w:t>Arch</w:t>
      </w:r>
      <w:proofErr w:type="gramStart"/>
      <w:r w:rsidRPr="008E2B3B">
        <w:rPr>
          <w:rFonts w:eastAsia="宋体"/>
          <w:kern w:val="0"/>
          <w:szCs w:val="20"/>
        </w:rPr>
        <w:t>毒石苏普</w:t>
      </w:r>
      <w:proofErr w:type="gramEnd"/>
      <w:r w:rsidRPr="008E2B3B">
        <w:rPr>
          <w:rFonts w:eastAsia="宋体"/>
          <w:kern w:val="0"/>
          <w:szCs w:val="20"/>
        </w:rPr>
        <w:t>，第</w:t>
      </w:r>
      <w:r w:rsidRPr="008E2B3B">
        <w:rPr>
          <w:rFonts w:eastAsia="宋体"/>
          <w:kern w:val="0"/>
          <w:szCs w:val="20"/>
        </w:rPr>
        <w:t>17</w:t>
      </w:r>
      <w:r w:rsidRPr="008E2B3B">
        <w:rPr>
          <w:rFonts w:eastAsia="宋体"/>
          <w:kern w:val="0"/>
          <w:szCs w:val="20"/>
        </w:rPr>
        <w:t>卷，</w:t>
      </w:r>
      <w:r w:rsidRPr="008E2B3B">
        <w:rPr>
          <w:rFonts w:eastAsia="宋体"/>
          <w:kern w:val="0"/>
          <w:szCs w:val="20"/>
        </w:rPr>
        <w:t>1995</w:t>
      </w:r>
      <w:r w:rsidRPr="008E2B3B">
        <w:rPr>
          <w:rFonts w:eastAsia="宋体"/>
          <w:kern w:val="0"/>
          <w:szCs w:val="20"/>
        </w:rPr>
        <w:t>年，第</w:t>
      </w:r>
      <w:r w:rsidRPr="008E2B3B">
        <w:rPr>
          <w:rFonts w:eastAsia="宋体"/>
          <w:kern w:val="0"/>
          <w:szCs w:val="20"/>
        </w:rPr>
        <w:t>305-311</w:t>
      </w:r>
      <w:r w:rsidRPr="008E2B3B">
        <w:rPr>
          <w:rFonts w:eastAsia="宋体"/>
          <w:kern w:val="0"/>
          <w:szCs w:val="20"/>
        </w:rPr>
        <w:t>页。</w:t>
      </w:r>
    </w:p>
    <w:p w14:paraId="5C05679C"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129</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美国食品和药物管理局，清洁过程检验验证指南，</w:t>
      </w:r>
      <w:r w:rsidRPr="008E2B3B">
        <w:rPr>
          <w:rFonts w:eastAsia="宋体"/>
          <w:kern w:val="0"/>
          <w:szCs w:val="20"/>
        </w:rPr>
        <w:t>1993</w:t>
      </w:r>
      <w:r w:rsidRPr="008E2B3B">
        <w:rPr>
          <w:rFonts w:eastAsia="宋体"/>
          <w:kern w:val="0"/>
          <w:szCs w:val="20"/>
        </w:rPr>
        <w:t>年。</w:t>
      </w:r>
    </w:p>
    <w:p w14:paraId="5664AA75"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130</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Walsh</w:t>
      </w:r>
      <w:r w:rsidRPr="008E2B3B">
        <w:rPr>
          <w:rFonts w:eastAsia="宋体"/>
          <w:kern w:val="0"/>
          <w:szCs w:val="20"/>
        </w:rPr>
        <w:t>，</w:t>
      </w:r>
      <w:r w:rsidRPr="008E2B3B">
        <w:rPr>
          <w:rFonts w:eastAsia="宋体"/>
          <w:kern w:val="0"/>
          <w:szCs w:val="20"/>
        </w:rPr>
        <w:t xml:space="preserve"> A. </w:t>
      </w:r>
      <w:r w:rsidRPr="008E2B3B">
        <w:rPr>
          <w:rFonts w:eastAsia="宋体"/>
          <w:kern w:val="0"/>
          <w:szCs w:val="20"/>
        </w:rPr>
        <w:t>等人，</w:t>
      </w:r>
      <w:r w:rsidRPr="008E2B3B">
        <w:rPr>
          <w:rFonts w:eastAsia="宋体"/>
          <w:kern w:val="0"/>
          <w:szCs w:val="20"/>
        </w:rPr>
        <w:t>"21</w:t>
      </w:r>
      <w:r w:rsidRPr="008E2B3B">
        <w:rPr>
          <w:rFonts w:eastAsia="宋体"/>
          <w:kern w:val="0"/>
          <w:szCs w:val="20"/>
        </w:rPr>
        <w:t>世纪的清洁验证：清洁剂的验收限值</w:t>
      </w:r>
      <w:r w:rsidRPr="008E2B3B">
        <w:rPr>
          <w:rFonts w:eastAsia="宋体"/>
          <w:kern w:val="0"/>
          <w:szCs w:val="20"/>
        </w:rPr>
        <w:t>"</w:t>
      </w:r>
      <w:r w:rsidRPr="008E2B3B">
        <w:rPr>
          <w:rFonts w:eastAsia="宋体"/>
          <w:kern w:val="0"/>
          <w:szCs w:val="20"/>
        </w:rPr>
        <w:t>，制药工程，第</w:t>
      </w:r>
      <w:r w:rsidRPr="008E2B3B">
        <w:rPr>
          <w:rFonts w:eastAsia="宋体"/>
          <w:kern w:val="0"/>
          <w:szCs w:val="20"/>
        </w:rPr>
        <w:t>33</w:t>
      </w:r>
      <w:r w:rsidRPr="008E2B3B">
        <w:rPr>
          <w:rFonts w:eastAsia="宋体"/>
          <w:kern w:val="0"/>
          <w:szCs w:val="20"/>
        </w:rPr>
        <w:t>卷，第</w:t>
      </w:r>
      <w:r w:rsidRPr="008E2B3B">
        <w:rPr>
          <w:rFonts w:eastAsia="宋体"/>
          <w:kern w:val="0"/>
          <w:szCs w:val="20"/>
        </w:rPr>
        <w:t>6</w:t>
      </w:r>
      <w:r w:rsidRPr="008E2B3B">
        <w:rPr>
          <w:rFonts w:eastAsia="宋体"/>
          <w:kern w:val="0"/>
          <w:szCs w:val="20"/>
        </w:rPr>
        <w:t>号，</w:t>
      </w:r>
      <w:r w:rsidRPr="008E2B3B">
        <w:rPr>
          <w:rFonts w:eastAsia="宋体"/>
          <w:kern w:val="0"/>
          <w:szCs w:val="20"/>
        </w:rPr>
        <w:t>2013</w:t>
      </w:r>
      <w:r w:rsidRPr="008E2B3B">
        <w:rPr>
          <w:rFonts w:eastAsia="宋体"/>
          <w:kern w:val="0"/>
          <w:szCs w:val="20"/>
        </w:rPr>
        <w:t>年，第</w:t>
      </w:r>
      <w:r w:rsidRPr="008E2B3B">
        <w:rPr>
          <w:rFonts w:eastAsia="宋体"/>
          <w:kern w:val="0"/>
          <w:szCs w:val="20"/>
        </w:rPr>
        <w:t>1-11</w:t>
      </w:r>
      <w:r w:rsidRPr="008E2B3B">
        <w:rPr>
          <w:rFonts w:eastAsia="宋体"/>
          <w:kern w:val="0"/>
          <w:szCs w:val="20"/>
        </w:rPr>
        <w:t>页。</w:t>
      </w:r>
    </w:p>
    <w:p w14:paraId="6EEC1BB9"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131</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 xml:space="preserve">ISO 10993-17 </w:t>
      </w:r>
      <w:r w:rsidRPr="008E2B3B">
        <w:rPr>
          <w:rFonts w:eastAsia="宋体"/>
          <w:kern w:val="0"/>
          <w:szCs w:val="20"/>
        </w:rPr>
        <w:t>第一版</w:t>
      </w:r>
      <w:r w:rsidRPr="008E2B3B">
        <w:rPr>
          <w:rFonts w:eastAsia="宋体"/>
          <w:kern w:val="0"/>
          <w:szCs w:val="20"/>
        </w:rPr>
        <w:t>2002-12-01</w:t>
      </w:r>
      <w:proofErr w:type="gramStart"/>
      <w:r w:rsidRPr="008E2B3B">
        <w:rPr>
          <w:rFonts w:eastAsia="宋体"/>
          <w:kern w:val="0"/>
          <w:szCs w:val="20"/>
        </w:rPr>
        <w:t>公认共识</w:t>
      </w:r>
      <w:proofErr w:type="gramEnd"/>
      <w:r w:rsidRPr="008E2B3B">
        <w:rPr>
          <w:rFonts w:eastAsia="宋体"/>
          <w:kern w:val="0"/>
          <w:szCs w:val="20"/>
        </w:rPr>
        <w:t>标准数据库记录，医疗器械生物评价</w:t>
      </w:r>
      <w:r w:rsidRPr="008E2B3B">
        <w:rPr>
          <w:rFonts w:eastAsia="宋体"/>
          <w:kern w:val="0"/>
          <w:szCs w:val="20"/>
        </w:rPr>
        <w:t xml:space="preserve"> - </w:t>
      </w:r>
      <w:r w:rsidRPr="008E2B3B">
        <w:rPr>
          <w:rFonts w:eastAsia="宋体"/>
          <w:kern w:val="0"/>
          <w:szCs w:val="20"/>
        </w:rPr>
        <w:t>第</w:t>
      </w:r>
      <w:r w:rsidRPr="008E2B3B">
        <w:rPr>
          <w:rFonts w:eastAsia="宋体"/>
          <w:kern w:val="0"/>
          <w:szCs w:val="20"/>
        </w:rPr>
        <w:t>17</w:t>
      </w:r>
      <w:r w:rsidRPr="008E2B3B">
        <w:rPr>
          <w:rFonts w:eastAsia="宋体"/>
          <w:kern w:val="0"/>
          <w:szCs w:val="20"/>
        </w:rPr>
        <w:t>部分：对可浸出物质的允许限制。</w:t>
      </w:r>
      <w:r w:rsidRPr="008E2B3B">
        <w:rPr>
          <w:rFonts w:eastAsia="宋体"/>
          <w:kern w:val="0"/>
          <w:szCs w:val="20"/>
        </w:rPr>
        <w:t>B</w:t>
      </w:r>
      <w:r w:rsidRPr="008E2B3B">
        <w:rPr>
          <w:rFonts w:eastAsia="宋体"/>
          <w:kern w:val="0"/>
          <w:szCs w:val="20"/>
        </w:rPr>
        <w:t>部分：补充信息表（</w:t>
      </w:r>
      <w:r w:rsidRPr="008E2B3B">
        <w:rPr>
          <w:rFonts w:eastAsia="宋体"/>
          <w:kern w:val="0"/>
          <w:szCs w:val="20"/>
        </w:rPr>
        <w:t>SIS</w:t>
      </w:r>
      <w:r w:rsidRPr="008E2B3B">
        <w:rPr>
          <w:rFonts w:eastAsia="宋体"/>
          <w:kern w:val="0"/>
          <w:szCs w:val="20"/>
        </w:rPr>
        <w:t>），美国卫生与人类服务部，食品和药物管理局，设备和放射健康中心（</w:t>
      </w:r>
      <w:r w:rsidRPr="008E2B3B">
        <w:rPr>
          <w:rFonts w:eastAsia="宋体"/>
          <w:kern w:val="0"/>
          <w:szCs w:val="20"/>
        </w:rPr>
        <w:t>CDRH</w:t>
      </w:r>
      <w:r w:rsidRPr="008E2B3B">
        <w:rPr>
          <w:rFonts w:eastAsia="宋体"/>
          <w:kern w:val="0"/>
          <w:szCs w:val="20"/>
        </w:rPr>
        <w:t>），银泉，医学博士，</w:t>
      </w:r>
      <w:r w:rsidRPr="008E2B3B">
        <w:rPr>
          <w:rFonts w:eastAsia="宋体"/>
          <w:kern w:val="0"/>
          <w:szCs w:val="20"/>
        </w:rPr>
        <w:t>2016</w:t>
      </w:r>
      <w:r w:rsidRPr="008E2B3B">
        <w:rPr>
          <w:rFonts w:eastAsia="宋体"/>
          <w:kern w:val="0"/>
          <w:szCs w:val="20"/>
        </w:rPr>
        <w:t>年。</w:t>
      </w:r>
    </w:p>
    <w:p w14:paraId="72F0848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132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2008</w:t>
      </w:r>
      <w:r w:rsidRPr="008E2B3B">
        <w:rPr>
          <w:rFonts w:eastAsia="宋体"/>
          <w:kern w:val="0"/>
          <w:szCs w:val="20"/>
        </w:rPr>
        <w:t>年《医疗保健设施消毒和绝育指南》（最新更新：</w:t>
      </w:r>
      <w:r w:rsidRPr="008E2B3B">
        <w:rPr>
          <w:rFonts w:eastAsia="宋体"/>
          <w:kern w:val="0"/>
          <w:szCs w:val="20"/>
        </w:rPr>
        <w:t>2017</w:t>
      </w:r>
      <w:r w:rsidRPr="008E2B3B">
        <w:rPr>
          <w:rFonts w:eastAsia="宋体"/>
          <w:kern w:val="0"/>
          <w:szCs w:val="20"/>
        </w:rPr>
        <w:t>年</w:t>
      </w:r>
      <w:r w:rsidRPr="008E2B3B">
        <w:rPr>
          <w:rFonts w:eastAsia="宋体"/>
          <w:kern w:val="0"/>
          <w:szCs w:val="20"/>
        </w:rPr>
        <w:t>2</w:t>
      </w:r>
      <w:r w:rsidRPr="008E2B3B">
        <w:rPr>
          <w:rFonts w:eastAsia="宋体"/>
          <w:kern w:val="0"/>
          <w:szCs w:val="20"/>
        </w:rPr>
        <w:t>月</w:t>
      </w:r>
      <w:r w:rsidRPr="008E2B3B">
        <w:rPr>
          <w:rFonts w:eastAsia="宋体"/>
          <w:kern w:val="0"/>
          <w:szCs w:val="20"/>
        </w:rPr>
        <w:t>15</w:t>
      </w:r>
      <w:r w:rsidRPr="008E2B3B">
        <w:rPr>
          <w:rFonts w:eastAsia="宋体"/>
          <w:kern w:val="0"/>
          <w:szCs w:val="20"/>
        </w:rPr>
        <w:t>日），美国卫生与公众服务部、公共卫生服务部、疾病控制和预防</w:t>
      </w:r>
      <w:r w:rsidRPr="008E2B3B">
        <w:rPr>
          <w:rFonts w:eastAsia="宋体"/>
          <w:kern w:val="0"/>
          <w:szCs w:val="20"/>
        </w:rPr>
        <w:t>中心、美国政府印刷办公室，华盛顿特区，</w:t>
      </w:r>
      <w:r w:rsidRPr="008E2B3B">
        <w:rPr>
          <w:rFonts w:eastAsia="宋体"/>
          <w:kern w:val="0"/>
          <w:szCs w:val="20"/>
        </w:rPr>
        <w:t>2008</w:t>
      </w:r>
      <w:r w:rsidRPr="008E2B3B">
        <w:rPr>
          <w:rFonts w:eastAsia="宋体"/>
          <w:kern w:val="0"/>
          <w:szCs w:val="20"/>
        </w:rPr>
        <w:t>年，第</w:t>
      </w:r>
      <w:r w:rsidRPr="008E2B3B">
        <w:rPr>
          <w:rFonts w:eastAsia="宋体"/>
          <w:kern w:val="0"/>
          <w:szCs w:val="20"/>
        </w:rPr>
        <w:t>161</w:t>
      </w:r>
      <w:r w:rsidRPr="008E2B3B">
        <w:rPr>
          <w:rFonts w:eastAsia="宋体"/>
          <w:kern w:val="0"/>
          <w:szCs w:val="20"/>
        </w:rPr>
        <w:t>位。</w:t>
      </w:r>
    </w:p>
    <w:p w14:paraId="10187C9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133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世界卫生组织和泛美健康组织对医疗器械的净化和再处理，瑞士日内瓦，</w:t>
      </w:r>
      <w:r w:rsidRPr="008E2B3B">
        <w:rPr>
          <w:rFonts w:eastAsia="宋体"/>
          <w:kern w:val="0"/>
          <w:szCs w:val="20"/>
        </w:rPr>
        <w:t>2016</w:t>
      </w:r>
      <w:r w:rsidRPr="008E2B3B">
        <w:rPr>
          <w:rFonts w:eastAsia="宋体"/>
          <w:kern w:val="0"/>
          <w:szCs w:val="20"/>
        </w:rPr>
        <w:t>年，第</w:t>
      </w:r>
      <w:r w:rsidRPr="008E2B3B">
        <w:rPr>
          <w:rFonts w:eastAsia="宋体"/>
          <w:kern w:val="0"/>
          <w:szCs w:val="20"/>
        </w:rPr>
        <w:t>120</w:t>
      </w:r>
      <w:r w:rsidRPr="008E2B3B">
        <w:rPr>
          <w:rFonts w:eastAsia="宋体"/>
          <w:kern w:val="0"/>
          <w:szCs w:val="20"/>
        </w:rPr>
        <w:t>页。</w:t>
      </w:r>
    </w:p>
    <w:p w14:paraId="167189F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134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尼森，</w:t>
      </w:r>
      <w:r w:rsidRPr="008E2B3B">
        <w:rPr>
          <w:rFonts w:eastAsia="宋体"/>
          <w:kern w:val="0"/>
          <w:szCs w:val="20"/>
        </w:rPr>
        <w:t>S.E.</w:t>
      </w:r>
      <w:r w:rsidRPr="008E2B3B">
        <w:rPr>
          <w:rFonts w:eastAsia="宋体"/>
          <w:kern w:val="0"/>
          <w:szCs w:val="20"/>
        </w:rPr>
        <w:t>等人，</w:t>
      </w:r>
      <w:r w:rsidRPr="008E2B3B">
        <w:rPr>
          <w:rFonts w:eastAsia="宋体"/>
          <w:kern w:val="0"/>
          <w:szCs w:val="20"/>
        </w:rPr>
        <w:t>"</w:t>
      </w:r>
      <w:r w:rsidRPr="008E2B3B">
        <w:rPr>
          <w:rFonts w:eastAsia="宋体"/>
          <w:kern w:val="0"/>
          <w:szCs w:val="20"/>
        </w:rPr>
        <w:t>塞莱科西布，纳普罗森，或布</w:t>
      </w:r>
      <w:proofErr w:type="gramStart"/>
      <w:r w:rsidRPr="008E2B3B">
        <w:rPr>
          <w:rFonts w:eastAsia="宋体"/>
          <w:kern w:val="0"/>
          <w:szCs w:val="20"/>
        </w:rPr>
        <w:t>洛</w:t>
      </w:r>
      <w:proofErr w:type="gramEnd"/>
      <w:r w:rsidRPr="008E2B3B">
        <w:rPr>
          <w:rFonts w:eastAsia="宋体"/>
          <w:kern w:val="0"/>
          <w:szCs w:val="20"/>
        </w:rPr>
        <w:t>芬关节炎的心血管安全，</w:t>
      </w:r>
      <w:r w:rsidRPr="008E2B3B">
        <w:rPr>
          <w:rFonts w:eastAsia="宋体"/>
          <w:kern w:val="0"/>
          <w:szCs w:val="20"/>
        </w:rPr>
        <w:t xml:space="preserve">"N </w:t>
      </w:r>
      <w:proofErr w:type="spellStart"/>
      <w:r w:rsidRPr="008E2B3B">
        <w:rPr>
          <w:rFonts w:eastAsia="宋体"/>
          <w:kern w:val="0"/>
          <w:szCs w:val="20"/>
        </w:rPr>
        <w:t>Engl</w:t>
      </w:r>
      <w:proofErr w:type="spellEnd"/>
      <w:r w:rsidRPr="008E2B3B">
        <w:rPr>
          <w:rFonts w:eastAsia="宋体"/>
          <w:kern w:val="0"/>
          <w:szCs w:val="20"/>
        </w:rPr>
        <w:t xml:space="preserve"> J Med</w:t>
      </w:r>
      <w:r w:rsidRPr="008E2B3B">
        <w:rPr>
          <w:rFonts w:eastAsia="宋体"/>
          <w:kern w:val="0"/>
          <w:szCs w:val="20"/>
        </w:rPr>
        <w:t>，第</w:t>
      </w:r>
      <w:r w:rsidRPr="008E2B3B">
        <w:rPr>
          <w:rFonts w:eastAsia="宋体"/>
          <w:kern w:val="0"/>
          <w:szCs w:val="20"/>
        </w:rPr>
        <w:t>375</w:t>
      </w:r>
      <w:r w:rsidRPr="008E2B3B">
        <w:rPr>
          <w:rFonts w:eastAsia="宋体"/>
          <w:kern w:val="0"/>
          <w:szCs w:val="20"/>
        </w:rPr>
        <w:t>卷，第</w:t>
      </w:r>
      <w:r w:rsidRPr="008E2B3B">
        <w:rPr>
          <w:rFonts w:eastAsia="宋体"/>
          <w:kern w:val="0"/>
          <w:szCs w:val="20"/>
        </w:rPr>
        <w:t>26</w:t>
      </w:r>
      <w:r w:rsidRPr="008E2B3B">
        <w:rPr>
          <w:rFonts w:eastAsia="宋体"/>
          <w:kern w:val="0"/>
          <w:szCs w:val="20"/>
        </w:rPr>
        <w:t>号，</w:t>
      </w:r>
      <w:r w:rsidRPr="008E2B3B">
        <w:rPr>
          <w:rFonts w:eastAsia="宋体"/>
          <w:kern w:val="0"/>
          <w:szCs w:val="20"/>
        </w:rPr>
        <w:t>2016</w:t>
      </w:r>
      <w:r w:rsidRPr="008E2B3B">
        <w:rPr>
          <w:rFonts w:eastAsia="宋体"/>
          <w:kern w:val="0"/>
          <w:szCs w:val="20"/>
        </w:rPr>
        <w:t>年，第</w:t>
      </w:r>
      <w:r w:rsidRPr="008E2B3B">
        <w:rPr>
          <w:rFonts w:eastAsia="宋体"/>
          <w:kern w:val="0"/>
          <w:szCs w:val="20"/>
        </w:rPr>
        <w:t>2519-2529</w:t>
      </w:r>
      <w:r w:rsidRPr="008E2B3B">
        <w:rPr>
          <w:rFonts w:eastAsia="宋体"/>
          <w:kern w:val="0"/>
          <w:szCs w:val="20"/>
        </w:rPr>
        <w:t>页。</w:t>
      </w:r>
    </w:p>
    <w:p w14:paraId="1CC5ECD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135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为莫</w:t>
      </w:r>
      <w:proofErr w:type="gramStart"/>
      <w:r w:rsidRPr="008E2B3B">
        <w:rPr>
          <w:rFonts w:eastAsia="宋体"/>
          <w:kern w:val="0"/>
          <w:szCs w:val="20"/>
        </w:rPr>
        <w:t>特</w:t>
      </w:r>
      <w:proofErr w:type="gramEnd"/>
      <w:r w:rsidRPr="008E2B3B">
        <w:rPr>
          <w:rFonts w:eastAsia="宋体"/>
          <w:kern w:val="0"/>
          <w:szCs w:val="20"/>
        </w:rPr>
        <w:t>林、布</w:t>
      </w:r>
      <w:proofErr w:type="gramStart"/>
      <w:r w:rsidRPr="008E2B3B">
        <w:rPr>
          <w:rFonts w:eastAsia="宋体"/>
          <w:kern w:val="0"/>
          <w:szCs w:val="20"/>
        </w:rPr>
        <w:t>洛</w:t>
      </w:r>
      <w:proofErr w:type="gramEnd"/>
      <w:r w:rsidRPr="008E2B3B">
        <w:rPr>
          <w:rFonts w:eastAsia="宋体"/>
          <w:kern w:val="0"/>
          <w:szCs w:val="20"/>
        </w:rPr>
        <w:t>芬片剂</w:t>
      </w:r>
      <w:r w:rsidRPr="008E2B3B">
        <w:rPr>
          <w:rFonts w:eastAsia="宋体"/>
          <w:kern w:val="0"/>
          <w:szCs w:val="20"/>
        </w:rPr>
        <w:t>®</w:t>
      </w:r>
      <w:r w:rsidRPr="008E2B3B">
        <w:rPr>
          <w:rFonts w:eastAsia="宋体"/>
          <w:kern w:val="0"/>
          <w:szCs w:val="20"/>
        </w:rPr>
        <w:t>、</w:t>
      </w:r>
      <w:r w:rsidRPr="008E2B3B">
        <w:rPr>
          <w:rFonts w:eastAsia="宋体"/>
          <w:kern w:val="0"/>
          <w:szCs w:val="20"/>
        </w:rPr>
        <w:t>USP</w:t>
      </w:r>
      <w:r w:rsidRPr="008E2B3B">
        <w:rPr>
          <w:rFonts w:eastAsia="宋体"/>
          <w:kern w:val="0"/>
          <w:szCs w:val="20"/>
        </w:rPr>
        <w:t>（</w:t>
      </w:r>
      <w:r w:rsidRPr="008E2B3B">
        <w:rPr>
          <w:rFonts w:eastAsia="宋体"/>
          <w:kern w:val="0"/>
          <w:szCs w:val="20"/>
        </w:rPr>
        <w:t>2007</w:t>
      </w:r>
      <w:r w:rsidRPr="008E2B3B">
        <w:rPr>
          <w:rFonts w:eastAsia="宋体"/>
          <w:kern w:val="0"/>
          <w:szCs w:val="20"/>
        </w:rPr>
        <w:t>年</w:t>
      </w:r>
      <w:r w:rsidRPr="008E2B3B">
        <w:rPr>
          <w:rFonts w:eastAsia="宋体"/>
          <w:kern w:val="0"/>
          <w:szCs w:val="20"/>
        </w:rPr>
        <w:t>1</w:t>
      </w:r>
      <w:r w:rsidRPr="008E2B3B">
        <w:rPr>
          <w:rFonts w:eastAsia="宋体"/>
          <w:kern w:val="0"/>
          <w:szCs w:val="20"/>
        </w:rPr>
        <w:t>月</w:t>
      </w:r>
      <w:r w:rsidRPr="008E2B3B">
        <w:rPr>
          <w:rFonts w:eastAsia="宋体"/>
          <w:kern w:val="0"/>
          <w:szCs w:val="20"/>
        </w:rPr>
        <w:t>20</w:t>
      </w:r>
      <w:r w:rsidRPr="008E2B3B">
        <w:rPr>
          <w:rFonts w:eastAsia="宋体"/>
          <w:kern w:val="0"/>
          <w:szCs w:val="20"/>
        </w:rPr>
        <w:t>日修订）、</w:t>
      </w:r>
      <w:r w:rsidRPr="008E2B3B">
        <w:rPr>
          <w:rFonts w:eastAsia="宋体"/>
          <w:kern w:val="0"/>
          <w:szCs w:val="20"/>
        </w:rPr>
        <w:t>Pfizer Inc.</w:t>
      </w:r>
      <w:r w:rsidRPr="008E2B3B">
        <w:rPr>
          <w:rFonts w:eastAsia="宋体"/>
          <w:kern w:val="0"/>
          <w:szCs w:val="20"/>
        </w:rPr>
        <w:t>（</w:t>
      </w:r>
      <w:r w:rsidRPr="008E2B3B">
        <w:rPr>
          <w:rFonts w:eastAsia="宋体"/>
          <w:kern w:val="0"/>
          <w:szCs w:val="20"/>
        </w:rPr>
        <w:t>2007</w:t>
      </w:r>
      <w:r w:rsidRPr="008E2B3B">
        <w:rPr>
          <w:rFonts w:eastAsia="宋体"/>
          <w:kern w:val="0"/>
          <w:szCs w:val="20"/>
        </w:rPr>
        <w:t>年）</w:t>
      </w:r>
      <w:r w:rsidRPr="008E2B3B">
        <w:rPr>
          <w:rFonts w:eastAsia="宋体"/>
          <w:kern w:val="0"/>
          <w:szCs w:val="20"/>
        </w:rPr>
        <w:t>https://</w:t>
      </w:r>
    </w:p>
    <w:p w14:paraId="701CE653" w14:textId="77777777" w:rsidR="00EC1A52" w:rsidRPr="008E2B3B" w:rsidRDefault="00EC1A52" w:rsidP="00EC1A52">
      <w:pPr>
        <w:spacing w:after="13" w:line="256" w:lineRule="auto"/>
        <w:ind w:left="452" w:firstLine="0"/>
        <w:jc w:val="left"/>
        <w:rPr>
          <w:rFonts w:eastAsia="宋体"/>
          <w:kern w:val="0"/>
          <w:szCs w:val="20"/>
        </w:rPr>
      </w:pPr>
      <w:r w:rsidRPr="008E2B3B">
        <w:rPr>
          <w:rFonts w:eastAsia="宋体"/>
          <w:kern w:val="0"/>
          <w:szCs w:val="20"/>
        </w:rPr>
        <w:t>www.accessdata.fda.gov/drugsatfda_docs/label/2007/ 017463s105lbl.pdf.</w:t>
      </w:r>
    </w:p>
    <w:p w14:paraId="1FBCEAA7"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136</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Philipose</w:t>
      </w:r>
      <w:proofErr w:type="spellEnd"/>
      <w:r w:rsidRPr="008E2B3B">
        <w:rPr>
          <w:rFonts w:eastAsia="宋体"/>
          <w:kern w:val="0"/>
          <w:szCs w:val="20"/>
        </w:rPr>
        <w:t>，</w:t>
      </w:r>
      <w:r w:rsidRPr="008E2B3B">
        <w:rPr>
          <w:rFonts w:eastAsia="宋体"/>
          <w:kern w:val="0"/>
          <w:szCs w:val="20"/>
        </w:rPr>
        <w:t>B.</w:t>
      </w:r>
      <w:r w:rsidRPr="008E2B3B">
        <w:rPr>
          <w:rFonts w:eastAsia="宋体"/>
          <w:kern w:val="0"/>
          <w:szCs w:val="20"/>
        </w:rPr>
        <w:t>等人，</w:t>
      </w:r>
      <w:r w:rsidRPr="008E2B3B">
        <w:rPr>
          <w:rFonts w:eastAsia="宋体"/>
          <w:kern w:val="0"/>
          <w:szCs w:val="20"/>
        </w:rPr>
        <w:t>"</w:t>
      </w:r>
      <w:r w:rsidRPr="008E2B3B">
        <w:rPr>
          <w:rFonts w:eastAsia="宋体"/>
          <w:kern w:val="0"/>
          <w:szCs w:val="20"/>
        </w:rPr>
        <w:t>三种丙</w:t>
      </w:r>
      <w:proofErr w:type="gramStart"/>
      <w:r w:rsidRPr="008E2B3B">
        <w:rPr>
          <w:rFonts w:eastAsia="宋体"/>
          <w:kern w:val="0"/>
          <w:szCs w:val="20"/>
        </w:rPr>
        <w:t>丙</w:t>
      </w:r>
      <w:proofErr w:type="gramEnd"/>
      <w:r w:rsidRPr="008E2B3B">
        <w:rPr>
          <w:rFonts w:eastAsia="宋体"/>
          <w:kern w:val="0"/>
          <w:szCs w:val="20"/>
        </w:rPr>
        <w:t>酸衍生物布</w:t>
      </w:r>
      <w:proofErr w:type="gramStart"/>
      <w:r w:rsidRPr="008E2B3B">
        <w:rPr>
          <w:rFonts w:eastAsia="宋体"/>
          <w:kern w:val="0"/>
          <w:szCs w:val="20"/>
        </w:rPr>
        <w:t>洛</w:t>
      </w:r>
      <w:proofErr w:type="gramEnd"/>
      <w:r w:rsidRPr="008E2B3B">
        <w:rPr>
          <w:rFonts w:eastAsia="宋体"/>
          <w:kern w:val="0"/>
          <w:szCs w:val="20"/>
        </w:rPr>
        <w:t>芬、酮普罗芬和纳普罗森的比较诱变和基因毒性效应</w:t>
      </w:r>
      <w:r w:rsidRPr="008E2B3B">
        <w:rPr>
          <w:rFonts w:eastAsia="宋体"/>
          <w:kern w:val="0"/>
          <w:szCs w:val="20"/>
        </w:rPr>
        <w:t>"</w:t>
      </w:r>
      <w:r w:rsidRPr="008E2B3B">
        <w:rPr>
          <w:rFonts w:eastAsia="宋体"/>
          <w:kern w:val="0"/>
          <w:szCs w:val="20"/>
        </w:rPr>
        <w:t>，</w:t>
      </w:r>
      <w:r w:rsidRPr="008E2B3B">
        <w:rPr>
          <w:rFonts w:eastAsia="宋体"/>
          <w:kern w:val="0"/>
          <w:szCs w:val="20"/>
        </w:rPr>
        <w:t>"</w:t>
      </w:r>
      <w:proofErr w:type="spellStart"/>
      <w:r w:rsidRPr="008E2B3B">
        <w:rPr>
          <w:rFonts w:eastAsia="宋体"/>
          <w:kern w:val="0"/>
          <w:szCs w:val="20"/>
        </w:rPr>
        <w:t>Mutat</w:t>
      </w:r>
      <w:proofErr w:type="spellEnd"/>
      <w:r w:rsidRPr="008E2B3B">
        <w:rPr>
          <w:rFonts w:eastAsia="宋体"/>
          <w:kern w:val="0"/>
          <w:szCs w:val="20"/>
        </w:rPr>
        <w:t xml:space="preserve"> Res</w:t>
      </w:r>
      <w:r w:rsidRPr="008E2B3B">
        <w:rPr>
          <w:rFonts w:eastAsia="宋体"/>
          <w:kern w:val="0"/>
          <w:szCs w:val="20"/>
        </w:rPr>
        <w:t>，第</w:t>
      </w:r>
      <w:r w:rsidRPr="008E2B3B">
        <w:rPr>
          <w:rFonts w:eastAsia="宋体"/>
          <w:kern w:val="0"/>
          <w:szCs w:val="20"/>
        </w:rPr>
        <w:t>393</w:t>
      </w:r>
      <w:r w:rsidRPr="008E2B3B">
        <w:rPr>
          <w:rFonts w:eastAsia="宋体"/>
          <w:kern w:val="0"/>
          <w:szCs w:val="20"/>
        </w:rPr>
        <w:t>卷，第</w:t>
      </w:r>
      <w:r w:rsidRPr="008E2B3B">
        <w:rPr>
          <w:rFonts w:eastAsia="宋体"/>
          <w:kern w:val="0"/>
          <w:szCs w:val="20"/>
        </w:rPr>
        <w:t>1-2</w:t>
      </w:r>
      <w:r w:rsidRPr="008E2B3B">
        <w:rPr>
          <w:rFonts w:eastAsia="宋体"/>
          <w:kern w:val="0"/>
          <w:szCs w:val="20"/>
        </w:rPr>
        <w:t>号，</w:t>
      </w:r>
      <w:r w:rsidRPr="008E2B3B">
        <w:rPr>
          <w:rFonts w:eastAsia="宋体"/>
          <w:kern w:val="0"/>
          <w:szCs w:val="20"/>
        </w:rPr>
        <w:t>1997</w:t>
      </w:r>
      <w:r w:rsidRPr="008E2B3B">
        <w:rPr>
          <w:rFonts w:eastAsia="宋体"/>
          <w:kern w:val="0"/>
          <w:szCs w:val="20"/>
        </w:rPr>
        <w:t>年，第</w:t>
      </w:r>
      <w:r w:rsidRPr="008E2B3B">
        <w:rPr>
          <w:rFonts w:eastAsia="宋体"/>
          <w:kern w:val="0"/>
          <w:szCs w:val="20"/>
        </w:rPr>
        <w:t>123-131</w:t>
      </w:r>
      <w:r w:rsidRPr="008E2B3B">
        <w:rPr>
          <w:rFonts w:eastAsia="宋体"/>
          <w:kern w:val="0"/>
          <w:szCs w:val="20"/>
        </w:rPr>
        <w:t>页。</w:t>
      </w:r>
    </w:p>
    <w:p w14:paraId="2D82BCBF"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137</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Oldham</w:t>
      </w:r>
      <w:r w:rsidRPr="008E2B3B">
        <w:rPr>
          <w:rFonts w:eastAsia="宋体"/>
          <w:kern w:val="0"/>
          <w:szCs w:val="20"/>
        </w:rPr>
        <w:t>，</w:t>
      </w:r>
      <w:r w:rsidRPr="008E2B3B">
        <w:rPr>
          <w:rFonts w:eastAsia="宋体"/>
          <w:kern w:val="0"/>
          <w:szCs w:val="20"/>
        </w:rPr>
        <w:t xml:space="preserve"> J. W.</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普雷斯顿，</w:t>
      </w:r>
      <w:r w:rsidRPr="008E2B3B">
        <w:rPr>
          <w:rFonts w:eastAsia="宋体"/>
          <w:kern w:val="0"/>
          <w:szCs w:val="20"/>
        </w:rPr>
        <w:t xml:space="preserve"> R. F. </w:t>
      </w:r>
      <w:r w:rsidRPr="008E2B3B">
        <w:rPr>
          <w:rFonts w:eastAsia="宋体"/>
          <w:kern w:val="0"/>
          <w:szCs w:val="20"/>
        </w:rPr>
        <w:t>和保尔森，</w:t>
      </w:r>
      <w:r w:rsidRPr="008E2B3B">
        <w:rPr>
          <w:rFonts w:eastAsia="宋体"/>
          <w:kern w:val="0"/>
          <w:szCs w:val="20"/>
        </w:rPr>
        <w:t xml:space="preserve"> J.D.</w:t>
      </w:r>
      <w:r w:rsidRPr="008E2B3B">
        <w:rPr>
          <w:rFonts w:eastAsia="宋体"/>
          <w:kern w:val="0"/>
          <w:szCs w:val="20"/>
        </w:rPr>
        <w:t>，</w:t>
      </w:r>
      <w:r w:rsidRPr="008E2B3B">
        <w:rPr>
          <w:rFonts w:eastAsia="宋体"/>
          <w:kern w:val="0"/>
          <w:szCs w:val="20"/>
        </w:rPr>
        <w:t xml:space="preserve"> "</w:t>
      </w:r>
      <w:r w:rsidRPr="008E2B3B">
        <w:rPr>
          <w:rFonts w:eastAsia="宋体"/>
          <w:kern w:val="0"/>
          <w:szCs w:val="20"/>
        </w:rPr>
        <w:t>阿姆斯沙门氏菌菌株中选定的镇痛药的突变性测试，</w:t>
      </w:r>
      <w:r w:rsidRPr="008E2B3B">
        <w:rPr>
          <w:rFonts w:eastAsia="宋体"/>
          <w:kern w:val="0"/>
          <w:szCs w:val="20"/>
        </w:rPr>
        <w:t xml:space="preserve">"J Appl </w:t>
      </w:r>
      <w:r w:rsidRPr="008E2B3B">
        <w:rPr>
          <w:rFonts w:eastAsia="宋体"/>
          <w:kern w:val="0"/>
          <w:szCs w:val="20"/>
        </w:rPr>
        <w:t>毒理醇，</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6 </w:t>
      </w:r>
      <w:r w:rsidRPr="008E2B3B">
        <w:rPr>
          <w:rFonts w:eastAsia="宋体"/>
          <w:kern w:val="0"/>
          <w:szCs w:val="20"/>
        </w:rPr>
        <w:t>卷，</w:t>
      </w:r>
      <w:r w:rsidRPr="008E2B3B">
        <w:rPr>
          <w:rFonts w:eastAsia="宋体"/>
          <w:kern w:val="0"/>
          <w:szCs w:val="20"/>
        </w:rPr>
        <w:t xml:space="preserve"> 1986 </w:t>
      </w:r>
      <w:r w:rsidRPr="008E2B3B">
        <w:rPr>
          <w:rFonts w:eastAsia="宋体"/>
          <w:kern w:val="0"/>
          <w:szCs w:val="20"/>
        </w:rPr>
        <w:t>年第</w:t>
      </w:r>
      <w:r w:rsidRPr="008E2B3B">
        <w:rPr>
          <w:rFonts w:eastAsia="宋体"/>
          <w:kern w:val="0"/>
          <w:szCs w:val="20"/>
        </w:rPr>
        <w:t xml:space="preserve"> 4 </w:t>
      </w:r>
      <w:r w:rsidRPr="008E2B3B">
        <w:rPr>
          <w:rFonts w:eastAsia="宋体"/>
          <w:kern w:val="0"/>
          <w:szCs w:val="20"/>
        </w:rPr>
        <w:t>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237 -243 </w:t>
      </w:r>
      <w:r w:rsidRPr="008E2B3B">
        <w:rPr>
          <w:rFonts w:eastAsia="宋体"/>
          <w:kern w:val="0"/>
          <w:szCs w:val="20"/>
        </w:rPr>
        <w:t>页</w:t>
      </w:r>
      <w:r w:rsidRPr="008E2B3B">
        <w:rPr>
          <w:rFonts w:eastAsia="宋体"/>
          <w:kern w:val="0"/>
          <w:szCs w:val="20"/>
        </w:rPr>
        <w:t>.</w:t>
      </w:r>
    </w:p>
    <w:p w14:paraId="0B8FA815"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138</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Kullich</w:t>
      </w:r>
      <w:proofErr w:type="spellEnd"/>
      <w:r w:rsidRPr="008E2B3B">
        <w:rPr>
          <w:rFonts w:eastAsia="宋体"/>
          <w:kern w:val="0"/>
          <w:szCs w:val="20"/>
        </w:rPr>
        <w:t>，</w:t>
      </w:r>
      <w:r w:rsidRPr="008E2B3B">
        <w:rPr>
          <w:rFonts w:eastAsia="宋体"/>
          <w:kern w:val="0"/>
          <w:szCs w:val="20"/>
        </w:rPr>
        <w:t xml:space="preserve"> W. </w:t>
      </w:r>
      <w:r w:rsidRPr="008E2B3B">
        <w:rPr>
          <w:rFonts w:eastAsia="宋体"/>
          <w:kern w:val="0"/>
          <w:szCs w:val="20"/>
        </w:rPr>
        <w:t>和</w:t>
      </w:r>
      <w:r w:rsidRPr="008E2B3B">
        <w:rPr>
          <w:rFonts w:eastAsia="宋体"/>
          <w:kern w:val="0"/>
          <w:szCs w:val="20"/>
        </w:rPr>
        <w:t>Klein</w:t>
      </w:r>
      <w:r w:rsidRPr="008E2B3B">
        <w:rPr>
          <w:rFonts w:eastAsia="宋体"/>
          <w:kern w:val="0"/>
          <w:szCs w:val="20"/>
        </w:rPr>
        <w:t>，</w:t>
      </w:r>
      <w:r w:rsidRPr="008E2B3B">
        <w:rPr>
          <w:rFonts w:eastAsia="宋体"/>
          <w:kern w:val="0"/>
          <w:szCs w:val="20"/>
        </w:rPr>
        <w:t xml:space="preserve"> G.</w:t>
      </w:r>
      <w:r w:rsidRPr="008E2B3B">
        <w:rPr>
          <w:rFonts w:eastAsia="宋体"/>
          <w:kern w:val="0"/>
          <w:szCs w:val="20"/>
        </w:rPr>
        <w:t>，</w:t>
      </w:r>
      <w:r w:rsidRPr="008E2B3B">
        <w:rPr>
          <w:rFonts w:eastAsia="宋体"/>
          <w:kern w:val="0"/>
          <w:szCs w:val="20"/>
        </w:rPr>
        <w:t xml:space="preserve"> "</w:t>
      </w:r>
      <w:r w:rsidRPr="008E2B3B">
        <w:rPr>
          <w:rFonts w:eastAsia="宋体"/>
          <w:kern w:val="0"/>
          <w:szCs w:val="20"/>
        </w:rPr>
        <w:t>非类固醇抗风度药物对姐妹色度交换率的影响的调查</w:t>
      </w:r>
      <w:r w:rsidRPr="008E2B3B">
        <w:rPr>
          <w:rFonts w:eastAsia="宋体"/>
          <w:kern w:val="0"/>
          <w:szCs w:val="20"/>
        </w:rPr>
        <w:t>"</w:t>
      </w:r>
      <w:r w:rsidRPr="008E2B3B">
        <w:rPr>
          <w:rFonts w:eastAsia="宋体"/>
          <w:kern w:val="0"/>
          <w:szCs w:val="20"/>
        </w:rPr>
        <w:t>，</w:t>
      </w:r>
      <w:proofErr w:type="spellStart"/>
      <w:r w:rsidRPr="008E2B3B">
        <w:rPr>
          <w:rFonts w:eastAsia="宋体"/>
          <w:kern w:val="0"/>
          <w:szCs w:val="20"/>
        </w:rPr>
        <w:t>Mutat</w:t>
      </w:r>
      <w:proofErr w:type="spellEnd"/>
      <w:r w:rsidRPr="008E2B3B">
        <w:rPr>
          <w:rFonts w:eastAsia="宋体"/>
          <w:kern w:val="0"/>
          <w:szCs w:val="20"/>
        </w:rPr>
        <w:t xml:space="preserve"> Res</w:t>
      </w:r>
      <w:r w:rsidRPr="008E2B3B">
        <w:rPr>
          <w:rFonts w:eastAsia="宋体"/>
          <w:kern w:val="0"/>
          <w:szCs w:val="20"/>
        </w:rPr>
        <w:t>，第</w:t>
      </w:r>
      <w:r w:rsidRPr="008E2B3B">
        <w:rPr>
          <w:rFonts w:eastAsia="宋体"/>
          <w:kern w:val="0"/>
          <w:szCs w:val="20"/>
        </w:rPr>
        <w:t>174</w:t>
      </w:r>
      <w:r w:rsidRPr="008E2B3B">
        <w:rPr>
          <w:rFonts w:eastAsia="宋体"/>
          <w:kern w:val="0"/>
          <w:szCs w:val="20"/>
        </w:rPr>
        <w:t>卷，第</w:t>
      </w:r>
      <w:r w:rsidRPr="008E2B3B">
        <w:rPr>
          <w:rFonts w:eastAsia="宋体"/>
          <w:kern w:val="0"/>
          <w:szCs w:val="20"/>
        </w:rPr>
        <w:t>2</w:t>
      </w:r>
      <w:r w:rsidRPr="008E2B3B">
        <w:rPr>
          <w:rFonts w:eastAsia="宋体"/>
          <w:kern w:val="0"/>
          <w:szCs w:val="20"/>
        </w:rPr>
        <w:t>号，</w:t>
      </w:r>
      <w:r w:rsidRPr="008E2B3B">
        <w:rPr>
          <w:rFonts w:eastAsia="宋体"/>
          <w:kern w:val="0"/>
          <w:szCs w:val="20"/>
        </w:rPr>
        <w:t>1986</w:t>
      </w:r>
      <w:r w:rsidRPr="008E2B3B">
        <w:rPr>
          <w:rFonts w:eastAsia="宋体"/>
          <w:kern w:val="0"/>
          <w:szCs w:val="20"/>
        </w:rPr>
        <w:t>年，第</w:t>
      </w:r>
      <w:r w:rsidRPr="008E2B3B">
        <w:rPr>
          <w:rFonts w:eastAsia="宋体"/>
          <w:kern w:val="0"/>
          <w:szCs w:val="20"/>
        </w:rPr>
        <w:t>131-134</w:t>
      </w:r>
      <w:r w:rsidRPr="008E2B3B">
        <w:rPr>
          <w:rFonts w:eastAsia="宋体"/>
          <w:kern w:val="0"/>
          <w:szCs w:val="20"/>
        </w:rPr>
        <w:t>。</w:t>
      </w:r>
    </w:p>
    <w:p w14:paraId="212FE60D"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139</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Tripathi</w:t>
      </w:r>
      <w:r w:rsidRPr="008E2B3B">
        <w:rPr>
          <w:rFonts w:eastAsia="宋体"/>
          <w:kern w:val="0"/>
          <w:szCs w:val="20"/>
        </w:rPr>
        <w:t>，</w:t>
      </w:r>
      <w:r w:rsidRPr="008E2B3B">
        <w:rPr>
          <w:rFonts w:eastAsia="宋体"/>
          <w:kern w:val="0"/>
          <w:szCs w:val="20"/>
        </w:rPr>
        <w:t xml:space="preserve"> R.</w:t>
      </w:r>
      <w:r w:rsidRPr="008E2B3B">
        <w:rPr>
          <w:rFonts w:eastAsia="宋体"/>
          <w:kern w:val="0"/>
          <w:szCs w:val="20"/>
        </w:rPr>
        <w:t>，</w:t>
      </w:r>
      <w:r w:rsidRPr="008E2B3B">
        <w:rPr>
          <w:rFonts w:eastAsia="宋体"/>
          <w:kern w:val="0"/>
          <w:szCs w:val="20"/>
        </w:rPr>
        <w:t xml:space="preserve"> </w:t>
      </w:r>
      <w:r w:rsidRPr="008E2B3B">
        <w:rPr>
          <w:rFonts w:eastAsia="宋体"/>
          <w:kern w:val="0"/>
          <w:szCs w:val="20"/>
        </w:rPr>
        <w:t>潘乔利，</w:t>
      </w:r>
      <w:r w:rsidRPr="008E2B3B">
        <w:rPr>
          <w:rFonts w:eastAsia="宋体"/>
          <w:kern w:val="0"/>
          <w:szCs w:val="20"/>
        </w:rPr>
        <w:t xml:space="preserve"> S. S. </w:t>
      </w:r>
      <w:r w:rsidRPr="008E2B3B">
        <w:rPr>
          <w:rFonts w:eastAsia="宋体"/>
          <w:kern w:val="0"/>
          <w:szCs w:val="20"/>
        </w:rPr>
        <w:t>和</w:t>
      </w:r>
      <w:r w:rsidRPr="008E2B3B">
        <w:rPr>
          <w:rFonts w:eastAsia="宋体"/>
          <w:kern w:val="0"/>
          <w:szCs w:val="20"/>
        </w:rPr>
        <w:t xml:space="preserve"> Tripathi</w:t>
      </w:r>
      <w:r w:rsidRPr="008E2B3B">
        <w:rPr>
          <w:rFonts w:eastAsia="宋体"/>
          <w:kern w:val="0"/>
          <w:szCs w:val="20"/>
        </w:rPr>
        <w:t>，</w:t>
      </w:r>
      <w:r w:rsidRPr="008E2B3B">
        <w:rPr>
          <w:rFonts w:eastAsia="宋体"/>
          <w:kern w:val="0"/>
          <w:szCs w:val="20"/>
        </w:rPr>
        <w:t xml:space="preserve"> P.</w:t>
      </w:r>
      <w:r w:rsidRPr="008E2B3B">
        <w:rPr>
          <w:rFonts w:eastAsia="宋体"/>
          <w:kern w:val="0"/>
          <w:szCs w:val="20"/>
        </w:rPr>
        <w:t>，</w:t>
      </w:r>
      <w:r w:rsidRPr="008E2B3B">
        <w:rPr>
          <w:rFonts w:eastAsia="宋体"/>
          <w:kern w:val="0"/>
          <w:szCs w:val="20"/>
        </w:rPr>
        <w:t xml:space="preserve"> "</w:t>
      </w:r>
      <w:r w:rsidRPr="008E2B3B">
        <w:rPr>
          <w:rFonts w:eastAsia="宋体"/>
          <w:kern w:val="0"/>
          <w:szCs w:val="20"/>
        </w:rPr>
        <w:t>在体内小鼠骨髓细胞中布洛芬的基因毒性</w:t>
      </w:r>
      <w:r w:rsidRPr="008E2B3B">
        <w:rPr>
          <w:rFonts w:eastAsia="宋体"/>
          <w:kern w:val="0"/>
          <w:szCs w:val="20"/>
        </w:rPr>
        <w:t>"</w:t>
      </w:r>
      <w:r w:rsidRPr="008E2B3B">
        <w:rPr>
          <w:rFonts w:eastAsia="宋体"/>
          <w:kern w:val="0"/>
          <w:szCs w:val="20"/>
        </w:rPr>
        <w:t>，</w:t>
      </w:r>
      <w:r w:rsidRPr="008E2B3B">
        <w:rPr>
          <w:rFonts w:eastAsia="宋体"/>
          <w:kern w:val="0"/>
          <w:szCs w:val="20"/>
        </w:rPr>
        <w:t xml:space="preserve"> </w:t>
      </w:r>
      <w:r w:rsidRPr="008E2B3B">
        <w:rPr>
          <w:rFonts w:eastAsia="宋体"/>
          <w:kern w:val="0"/>
          <w:szCs w:val="20"/>
        </w:rPr>
        <w:t>药物化学毒理醇，</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35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4 </w:t>
      </w:r>
      <w:r w:rsidRPr="008E2B3B">
        <w:rPr>
          <w:rFonts w:eastAsia="宋体"/>
          <w:kern w:val="0"/>
          <w:szCs w:val="20"/>
        </w:rPr>
        <w:t>号，</w:t>
      </w:r>
      <w:r w:rsidRPr="008E2B3B">
        <w:rPr>
          <w:rFonts w:eastAsia="宋体"/>
          <w:kern w:val="0"/>
          <w:szCs w:val="20"/>
        </w:rPr>
        <w:t xml:space="preserve"> 2012</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389-392 </w:t>
      </w:r>
      <w:r w:rsidRPr="008E2B3B">
        <w:rPr>
          <w:rFonts w:eastAsia="宋体"/>
          <w:kern w:val="0"/>
          <w:szCs w:val="20"/>
        </w:rPr>
        <w:t>页</w:t>
      </w:r>
      <w:r w:rsidRPr="008E2B3B">
        <w:rPr>
          <w:rFonts w:eastAsia="宋体"/>
          <w:kern w:val="0"/>
          <w:szCs w:val="20"/>
        </w:rPr>
        <w:t>.</w:t>
      </w:r>
    </w:p>
    <w:p w14:paraId="459951F2"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140</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 xml:space="preserve">REACH </w:t>
      </w:r>
      <w:r w:rsidRPr="008E2B3B">
        <w:rPr>
          <w:rFonts w:eastAsia="宋体"/>
          <w:kern w:val="0"/>
          <w:szCs w:val="20"/>
        </w:rPr>
        <w:t>注册档案：布洛芬（在线），</w:t>
      </w:r>
      <w:r w:rsidRPr="008E2B3B">
        <w:rPr>
          <w:rFonts w:eastAsia="宋体"/>
          <w:kern w:val="0"/>
          <w:szCs w:val="20"/>
        </w:rPr>
        <w:t>ECHA</w:t>
      </w:r>
      <w:r w:rsidRPr="008E2B3B">
        <w:rPr>
          <w:rFonts w:eastAsia="宋体"/>
          <w:kern w:val="0"/>
          <w:szCs w:val="20"/>
        </w:rPr>
        <w:t>，</w:t>
      </w:r>
      <w:r w:rsidRPr="008E2B3B">
        <w:rPr>
          <w:rFonts w:eastAsia="宋体"/>
          <w:kern w:val="0"/>
          <w:szCs w:val="20"/>
        </w:rPr>
        <w:t>2019</w:t>
      </w:r>
      <w:r w:rsidRPr="008E2B3B">
        <w:rPr>
          <w:rFonts w:eastAsia="宋体"/>
          <w:kern w:val="0"/>
          <w:szCs w:val="20"/>
        </w:rPr>
        <w:t>年。</w:t>
      </w:r>
    </w:p>
    <w:p w14:paraId="25E986DC"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141</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古尔皮纳尔，</w:t>
      </w:r>
      <w:r w:rsidRPr="008E2B3B">
        <w:rPr>
          <w:rFonts w:eastAsia="宋体"/>
          <w:kern w:val="0"/>
          <w:szCs w:val="20"/>
        </w:rPr>
        <w:t xml:space="preserve"> E.</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灰熊，</w:t>
      </w:r>
      <w:r w:rsidRPr="008E2B3B">
        <w:rPr>
          <w:rFonts w:eastAsia="宋体"/>
          <w:kern w:val="0"/>
          <w:szCs w:val="20"/>
        </w:rPr>
        <w:t xml:space="preserve"> W. E. </w:t>
      </w:r>
      <w:r w:rsidRPr="008E2B3B">
        <w:rPr>
          <w:rFonts w:eastAsia="宋体"/>
          <w:kern w:val="0"/>
          <w:szCs w:val="20"/>
        </w:rPr>
        <w:t>和广场，</w:t>
      </w:r>
      <w:r w:rsidRPr="008E2B3B">
        <w:rPr>
          <w:rFonts w:eastAsia="宋体"/>
          <w:kern w:val="0"/>
          <w:szCs w:val="20"/>
        </w:rPr>
        <w:t xml:space="preserve"> G. A.</w:t>
      </w:r>
      <w:r w:rsidRPr="008E2B3B">
        <w:rPr>
          <w:rFonts w:eastAsia="宋体"/>
          <w:kern w:val="0"/>
          <w:szCs w:val="20"/>
        </w:rPr>
        <w:t>，</w:t>
      </w:r>
      <w:r w:rsidRPr="008E2B3B">
        <w:rPr>
          <w:rFonts w:eastAsia="宋体"/>
          <w:kern w:val="0"/>
          <w:szCs w:val="20"/>
        </w:rPr>
        <w:t xml:space="preserve"> "NSAIDs </w:t>
      </w:r>
      <w:r w:rsidRPr="008E2B3B">
        <w:rPr>
          <w:rFonts w:eastAsia="宋体"/>
          <w:kern w:val="0"/>
          <w:szCs w:val="20"/>
        </w:rPr>
        <w:t>抑制肿瘤发生，</w:t>
      </w:r>
      <w:r w:rsidRPr="008E2B3B">
        <w:rPr>
          <w:rFonts w:eastAsia="宋体"/>
          <w:kern w:val="0"/>
          <w:szCs w:val="20"/>
        </w:rPr>
        <w:t xml:space="preserve"> </w:t>
      </w:r>
      <w:r w:rsidRPr="008E2B3B">
        <w:rPr>
          <w:rFonts w:eastAsia="宋体"/>
          <w:kern w:val="0"/>
          <w:szCs w:val="20"/>
        </w:rPr>
        <w:t>但如何？</w:t>
      </w:r>
      <w:r w:rsidRPr="008E2B3B">
        <w:rPr>
          <w:rFonts w:eastAsia="宋体"/>
          <w:kern w:val="0"/>
          <w:szCs w:val="20"/>
        </w:rPr>
        <w:t xml:space="preserve">" </w:t>
      </w:r>
      <w:r w:rsidRPr="008E2B3B">
        <w:rPr>
          <w:rFonts w:eastAsia="宋体"/>
          <w:kern w:val="0"/>
          <w:szCs w:val="20"/>
        </w:rPr>
        <w:t>克林癌症</w:t>
      </w:r>
      <w:r w:rsidRPr="008E2B3B">
        <w:rPr>
          <w:rFonts w:eastAsia="宋体"/>
          <w:kern w:val="0"/>
          <w:szCs w:val="20"/>
        </w:rPr>
        <w:t xml:space="preserve"> Res</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20 </w:t>
      </w:r>
      <w:r w:rsidRPr="008E2B3B">
        <w:rPr>
          <w:rFonts w:eastAsia="宋体"/>
          <w:kern w:val="0"/>
          <w:szCs w:val="20"/>
        </w:rPr>
        <w:t>卷，</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5 </w:t>
      </w:r>
      <w:r w:rsidRPr="008E2B3B">
        <w:rPr>
          <w:rFonts w:eastAsia="宋体"/>
          <w:kern w:val="0"/>
          <w:szCs w:val="20"/>
        </w:rPr>
        <w:t>号，</w:t>
      </w:r>
      <w:r w:rsidRPr="008E2B3B">
        <w:rPr>
          <w:rFonts w:eastAsia="宋体"/>
          <w:kern w:val="0"/>
          <w:szCs w:val="20"/>
        </w:rPr>
        <w:t xml:space="preserve"> 2014</w:t>
      </w:r>
      <w:r w:rsidRPr="008E2B3B">
        <w:rPr>
          <w:rFonts w:eastAsia="宋体"/>
          <w:kern w:val="0"/>
          <w:szCs w:val="20"/>
        </w:rPr>
        <w:t>，</w:t>
      </w:r>
      <w:r w:rsidRPr="008E2B3B">
        <w:rPr>
          <w:rFonts w:eastAsia="宋体"/>
          <w:kern w:val="0"/>
          <w:szCs w:val="20"/>
        </w:rPr>
        <w:t xml:space="preserve"> </w:t>
      </w:r>
      <w:r w:rsidRPr="008E2B3B">
        <w:rPr>
          <w:rFonts w:eastAsia="宋体"/>
          <w:kern w:val="0"/>
          <w:szCs w:val="20"/>
        </w:rPr>
        <w:t>第</w:t>
      </w:r>
      <w:r w:rsidRPr="008E2B3B">
        <w:rPr>
          <w:rFonts w:eastAsia="宋体"/>
          <w:kern w:val="0"/>
          <w:szCs w:val="20"/>
        </w:rPr>
        <w:t xml:space="preserve"> 1104 - 1113 </w:t>
      </w:r>
      <w:r w:rsidRPr="008E2B3B">
        <w:rPr>
          <w:rFonts w:eastAsia="宋体"/>
          <w:kern w:val="0"/>
          <w:szCs w:val="20"/>
        </w:rPr>
        <w:t>页。</w:t>
      </w:r>
    </w:p>
    <w:p w14:paraId="0AE7668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142</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尼尔森、</w:t>
      </w:r>
      <w:r w:rsidRPr="008E2B3B">
        <w:rPr>
          <w:rFonts w:eastAsia="宋体"/>
          <w:kern w:val="0"/>
          <w:szCs w:val="20"/>
        </w:rPr>
        <w:t>G.L.</w:t>
      </w:r>
      <w:r w:rsidRPr="008E2B3B">
        <w:rPr>
          <w:rFonts w:eastAsia="宋体"/>
          <w:kern w:val="0"/>
          <w:szCs w:val="20"/>
        </w:rPr>
        <w:t>等人，</w:t>
      </w:r>
      <w:r w:rsidRPr="008E2B3B">
        <w:rPr>
          <w:rFonts w:eastAsia="宋体"/>
          <w:kern w:val="0"/>
          <w:szCs w:val="20"/>
        </w:rPr>
        <w:t>"</w:t>
      </w:r>
      <w:r w:rsidRPr="008E2B3B">
        <w:rPr>
          <w:rFonts w:eastAsia="宋体"/>
          <w:kern w:val="0"/>
          <w:szCs w:val="20"/>
        </w:rPr>
        <w:t>非类固醇抗炎药物的怀孕使用者发生不良分娩结果和流产的风险：基于人群的观察研究和病例对照研究</w:t>
      </w:r>
      <w:r w:rsidRPr="008E2B3B">
        <w:rPr>
          <w:rFonts w:eastAsia="宋体"/>
          <w:kern w:val="0"/>
          <w:szCs w:val="20"/>
        </w:rPr>
        <w:t>"</w:t>
      </w:r>
      <w:r w:rsidRPr="008E2B3B">
        <w:rPr>
          <w:rFonts w:eastAsia="宋体"/>
          <w:kern w:val="0"/>
          <w:szCs w:val="20"/>
        </w:rPr>
        <w:t>，</w:t>
      </w:r>
      <w:r w:rsidRPr="008E2B3B">
        <w:rPr>
          <w:rFonts w:eastAsia="宋体"/>
          <w:kern w:val="0"/>
          <w:szCs w:val="20"/>
        </w:rPr>
        <w:t>BMJ</w:t>
      </w:r>
      <w:r w:rsidRPr="008E2B3B">
        <w:rPr>
          <w:rFonts w:eastAsia="宋体"/>
          <w:kern w:val="0"/>
          <w:szCs w:val="20"/>
        </w:rPr>
        <w:t>，第</w:t>
      </w:r>
      <w:r w:rsidRPr="008E2B3B">
        <w:rPr>
          <w:rFonts w:eastAsia="宋体"/>
          <w:kern w:val="0"/>
          <w:szCs w:val="20"/>
        </w:rPr>
        <w:t>322</w:t>
      </w:r>
      <w:r w:rsidRPr="008E2B3B">
        <w:rPr>
          <w:rFonts w:eastAsia="宋体"/>
          <w:kern w:val="0"/>
          <w:szCs w:val="20"/>
        </w:rPr>
        <w:t>卷，第</w:t>
      </w:r>
      <w:r w:rsidRPr="008E2B3B">
        <w:rPr>
          <w:rFonts w:eastAsia="宋体"/>
          <w:kern w:val="0"/>
          <w:szCs w:val="20"/>
        </w:rPr>
        <w:t>7281</w:t>
      </w:r>
      <w:r w:rsidRPr="008E2B3B">
        <w:rPr>
          <w:rFonts w:eastAsia="宋体"/>
          <w:kern w:val="0"/>
          <w:szCs w:val="20"/>
        </w:rPr>
        <w:t>号，</w:t>
      </w:r>
      <w:r w:rsidRPr="008E2B3B">
        <w:rPr>
          <w:rFonts w:eastAsia="宋体"/>
          <w:kern w:val="0"/>
          <w:szCs w:val="20"/>
        </w:rPr>
        <w:t>2001</w:t>
      </w:r>
      <w:r w:rsidRPr="008E2B3B">
        <w:rPr>
          <w:rFonts w:eastAsia="宋体"/>
          <w:kern w:val="0"/>
          <w:szCs w:val="20"/>
        </w:rPr>
        <w:t>年，第</w:t>
      </w:r>
      <w:r w:rsidRPr="008E2B3B">
        <w:rPr>
          <w:rFonts w:eastAsia="宋体"/>
          <w:kern w:val="0"/>
          <w:szCs w:val="20"/>
        </w:rPr>
        <w:t>266-270</w:t>
      </w:r>
      <w:r w:rsidRPr="008E2B3B">
        <w:rPr>
          <w:rFonts w:eastAsia="宋体"/>
          <w:kern w:val="0"/>
          <w:szCs w:val="20"/>
        </w:rPr>
        <w:t>页。</w:t>
      </w:r>
    </w:p>
    <w:p w14:paraId="6A547918"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143</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兰斯福德，</w:t>
      </w:r>
      <w:r w:rsidRPr="008E2B3B">
        <w:rPr>
          <w:rFonts w:eastAsia="宋体"/>
          <w:kern w:val="0"/>
          <w:szCs w:val="20"/>
        </w:rPr>
        <w:t>K.D.</w:t>
      </w:r>
      <w:r w:rsidRPr="008E2B3B">
        <w:rPr>
          <w:rFonts w:eastAsia="宋体"/>
          <w:kern w:val="0"/>
          <w:szCs w:val="20"/>
        </w:rPr>
        <w:t>，</w:t>
      </w:r>
      <w:r w:rsidRPr="008E2B3B">
        <w:rPr>
          <w:rFonts w:eastAsia="宋体"/>
          <w:kern w:val="0"/>
          <w:szCs w:val="20"/>
        </w:rPr>
        <w:t>"</w:t>
      </w:r>
      <w:r w:rsidRPr="008E2B3B">
        <w:rPr>
          <w:rFonts w:eastAsia="宋体"/>
          <w:kern w:val="0"/>
          <w:szCs w:val="20"/>
        </w:rPr>
        <w:t>布洛芬：药理学，疗效和安全</w:t>
      </w:r>
      <w:r w:rsidRPr="008E2B3B">
        <w:rPr>
          <w:rFonts w:eastAsia="宋体"/>
          <w:kern w:val="0"/>
          <w:szCs w:val="20"/>
        </w:rPr>
        <w:t>"</w:t>
      </w:r>
      <w:r w:rsidRPr="008E2B3B">
        <w:rPr>
          <w:rFonts w:eastAsia="宋体"/>
          <w:kern w:val="0"/>
          <w:szCs w:val="20"/>
        </w:rPr>
        <w:t>，炎症药理学，第</w:t>
      </w:r>
      <w:r w:rsidRPr="008E2B3B">
        <w:rPr>
          <w:rFonts w:eastAsia="宋体"/>
          <w:kern w:val="0"/>
          <w:szCs w:val="20"/>
        </w:rPr>
        <w:t>17</w:t>
      </w:r>
      <w:r w:rsidRPr="008E2B3B">
        <w:rPr>
          <w:rFonts w:eastAsia="宋体"/>
          <w:kern w:val="0"/>
          <w:szCs w:val="20"/>
        </w:rPr>
        <w:t>卷，第</w:t>
      </w:r>
      <w:r w:rsidRPr="008E2B3B">
        <w:rPr>
          <w:rFonts w:eastAsia="宋体"/>
          <w:kern w:val="0"/>
          <w:szCs w:val="20"/>
        </w:rPr>
        <w:t>6</w:t>
      </w:r>
      <w:r w:rsidRPr="008E2B3B">
        <w:rPr>
          <w:rFonts w:eastAsia="宋体"/>
          <w:kern w:val="0"/>
          <w:szCs w:val="20"/>
        </w:rPr>
        <w:t>号，</w:t>
      </w:r>
      <w:r w:rsidRPr="008E2B3B">
        <w:rPr>
          <w:rFonts w:eastAsia="宋体"/>
          <w:kern w:val="0"/>
          <w:szCs w:val="20"/>
        </w:rPr>
        <w:t>2009</w:t>
      </w:r>
      <w:r w:rsidRPr="008E2B3B">
        <w:rPr>
          <w:rFonts w:eastAsia="宋体"/>
          <w:kern w:val="0"/>
          <w:szCs w:val="20"/>
        </w:rPr>
        <w:t>年，第</w:t>
      </w:r>
      <w:r w:rsidRPr="008E2B3B">
        <w:rPr>
          <w:rFonts w:eastAsia="宋体"/>
          <w:kern w:val="0"/>
          <w:szCs w:val="20"/>
        </w:rPr>
        <w:t>275-342</w:t>
      </w:r>
      <w:r w:rsidRPr="008E2B3B">
        <w:rPr>
          <w:rFonts w:eastAsia="宋体"/>
          <w:kern w:val="0"/>
          <w:szCs w:val="20"/>
        </w:rPr>
        <w:t>页。</w:t>
      </w:r>
    </w:p>
    <w:p w14:paraId="45B66ED3"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144</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戴维斯，北卡罗来纳州，</w:t>
      </w:r>
      <w:r w:rsidRPr="008E2B3B">
        <w:rPr>
          <w:rFonts w:eastAsia="宋体"/>
          <w:kern w:val="0"/>
          <w:szCs w:val="20"/>
        </w:rPr>
        <w:t>"</w:t>
      </w:r>
      <w:r w:rsidRPr="008E2B3B">
        <w:rPr>
          <w:rFonts w:eastAsia="宋体"/>
          <w:kern w:val="0"/>
          <w:szCs w:val="20"/>
        </w:rPr>
        <w:t>布洛芬的临床药代动力学。前</w:t>
      </w:r>
      <w:r w:rsidRPr="008E2B3B">
        <w:rPr>
          <w:rFonts w:eastAsia="宋体"/>
          <w:kern w:val="0"/>
          <w:szCs w:val="20"/>
        </w:rPr>
        <w:t>30</w:t>
      </w:r>
      <w:r w:rsidRPr="008E2B3B">
        <w:rPr>
          <w:rFonts w:eastAsia="宋体"/>
          <w:kern w:val="0"/>
          <w:szCs w:val="20"/>
        </w:rPr>
        <w:t>年，</w:t>
      </w:r>
      <w:r w:rsidRPr="008E2B3B">
        <w:rPr>
          <w:rFonts w:eastAsia="宋体"/>
          <w:kern w:val="0"/>
          <w:szCs w:val="20"/>
        </w:rPr>
        <w:t>"Clin</w:t>
      </w:r>
      <w:r w:rsidRPr="008E2B3B">
        <w:rPr>
          <w:rFonts w:eastAsia="宋体"/>
          <w:kern w:val="0"/>
          <w:szCs w:val="20"/>
        </w:rPr>
        <w:t>药典，第</w:t>
      </w:r>
      <w:r w:rsidRPr="008E2B3B">
        <w:rPr>
          <w:rFonts w:eastAsia="宋体"/>
          <w:kern w:val="0"/>
          <w:szCs w:val="20"/>
        </w:rPr>
        <w:t>34</w:t>
      </w:r>
      <w:r w:rsidRPr="008E2B3B">
        <w:rPr>
          <w:rFonts w:eastAsia="宋体"/>
          <w:kern w:val="0"/>
          <w:szCs w:val="20"/>
        </w:rPr>
        <w:t>卷，第</w:t>
      </w:r>
      <w:r w:rsidRPr="008E2B3B">
        <w:rPr>
          <w:rFonts w:eastAsia="宋体"/>
          <w:kern w:val="0"/>
          <w:szCs w:val="20"/>
        </w:rPr>
        <w:t>2</w:t>
      </w:r>
      <w:r w:rsidRPr="008E2B3B">
        <w:rPr>
          <w:rFonts w:eastAsia="宋体"/>
          <w:kern w:val="0"/>
          <w:szCs w:val="20"/>
        </w:rPr>
        <w:t>号，</w:t>
      </w:r>
      <w:r w:rsidRPr="008E2B3B">
        <w:rPr>
          <w:rFonts w:eastAsia="宋体"/>
          <w:kern w:val="0"/>
          <w:szCs w:val="20"/>
        </w:rPr>
        <w:t>1998</w:t>
      </w:r>
      <w:r w:rsidRPr="008E2B3B">
        <w:rPr>
          <w:rFonts w:eastAsia="宋体"/>
          <w:kern w:val="0"/>
          <w:szCs w:val="20"/>
        </w:rPr>
        <w:t>年，第</w:t>
      </w:r>
      <w:r w:rsidRPr="008E2B3B">
        <w:rPr>
          <w:rFonts w:eastAsia="宋体"/>
          <w:kern w:val="0"/>
          <w:szCs w:val="20"/>
        </w:rPr>
        <w:t>101-154</w:t>
      </w:r>
      <w:r w:rsidRPr="008E2B3B">
        <w:rPr>
          <w:rFonts w:eastAsia="宋体"/>
          <w:kern w:val="0"/>
          <w:szCs w:val="20"/>
        </w:rPr>
        <w:t>页。</w:t>
      </w:r>
    </w:p>
    <w:p w14:paraId="02C67E15"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145</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2016</w:t>
      </w:r>
      <w:r w:rsidRPr="008E2B3B">
        <w:rPr>
          <w:rFonts w:eastAsia="宋体"/>
          <w:kern w:val="0"/>
          <w:szCs w:val="20"/>
        </w:rPr>
        <w:t>年，强生消费品公司，</w:t>
      </w:r>
      <w:r w:rsidRPr="008E2B3B">
        <w:rPr>
          <w:rFonts w:eastAsia="宋体"/>
          <w:kern w:val="0"/>
          <w:szCs w:val="20"/>
        </w:rPr>
        <w:t>2016</w:t>
      </w:r>
      <w:r w:rsidRPr="008E2B3B">
        <w:rPr>
          <w:rFonts w:eastAsia="宋体"/>
          <w:kern w:val="0"/>
          <w:szCs w:val="20"/>
        </w:rPr>
        <w:t>年，</w:t>
      </w:r>
      <w:r w:rsidRPr="008E2B3B">
        <w:rPr>
          <w:rFonts w:eastAsia="宋体"/>
          <w:kern w:val="0"/>
          <w:szCs w:val="20"/>
        </w:rPr>
        <w:t>HTTPS://WWW.MOTRIN.COM/CHILDRENINFA</w:t>
      </w:r>
      <w:r w:rsidRPr="008E2B3B">
        <w:rPr>
          <w:rFonts w:eastAsia="宋体"/>
          <w:kern w:val="0"/>
          <w:szCs w:val="20"/>
        </w:rPr>
        <w:lastRenderedPageBreak/>
        <w:t>NTS/DOSING-CHARTS#INFANTS-MOTRIN-SUSPENSION-DROPS-50-MG-125ML</w:t>
      </w:r>
      <w:r w:rsidRPr="008E2B3B">
        <w:rPr>
          <w:rFonts w:eastAsia="宋体"/>
          <w:kern w:val="0"/>
          <w:szCs w:val="20"/>
        </w:rPr>
        <w:t>。</w:t>
      </w:r>
    </w:p>
    <w:p w14:paraId="13DF8E8C"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146</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Skowronski</w:t>
      </w:r>
      <w:proofErr w:type="spellEnd"/>
      <w:r w:rsidRPr="008E2B3B">
        <w:rPr>
          <w:rFonts w:eastAsia="宋体"/>
          <w:kern w:val="0"/>
          <w:szCs w:val="20"/>
        </w:rPr>
        <w:t>，</w:t>
      </w:r>
      <w:r w:rsidRPr="008E2B3B">
        <w:rPr>
          <w:rFonts w:eastAsia="宋体"/>
          <w:kern w:val="0"/>
          <w:szCs w:val="20"/>
        </w:rPr>
        <w:t xml:space="preserve"> G. A. </w:t>
      </w:r>
      <w:r w:rsidRPr="008E2B3B">
        <w:rPr>
          <w:rFonts w:eastAsia="宋体"/>
          <w:kern w:val="0"/>
          <w:szCs w:val="20"/>
        </w:rPr>
        <w:t>和</w:t>
      </w:r>
      <w:r w:rsidRPr="008E2B3B">
        <w:rPr>
          <w:rFonts w:eastAsia="宋体"/>
          <w:kern w:val="0"/>
          <w:szCs w:val="20"/>
        </w:rPr>
        <w:t>Abdel-Rahman</w:t>
      </w:r>
      <w:r w:rsidRPr="008E2B3B">
        <w:rPr>
          <w:rFonts w:eastAsia="宋体"/>
          <w:kern w:val="0"/>
          <w:szCs w:val="20"/>
        </w:rPr>
        <w:t>，</w:t>
      </w:r>
      <w:r w:rsidRPr="008E2B3B">
        <w:rPr>
          <w:rFonts w:eastAsia="宋体"/>
          <w:kern w:val="0"/>
          <w:szCs w:val="20"/>
        </w:rPr>
        <w:t xml:space="preserve"> M.S.</w:t>
      </w:r>
      <w:r w:rsidRPr="008E2B3B">
        <w:rPr>
          <w:rFonts w:eastAsia="宋体"/>
          <w:kern w:val="0"/>
          <w:szCs w:val="20"/>
        </w:rPr>
        <w:t>，</w:t>
      </w:r>
      <w:r w:rsidRPr="008E2B3B">
        <w:rPr>
          <w:rFonts w:eastAsia="宋体"/>
          <w:kern w:val="0"/>
          <w:szCs w:val="20"/>
        </w:rPr>
        <w:t xml:space="preserve"> "10</w:t>
      </w:r>
      <w:r w:rsidRPr="008E2B3B">
        <w:rPr>
          <w:rFonts w:eastAsia="宋体"/>
          <w:kern w:val="0"/>
          <w:szCs w:val="20"/>
        </w:rPr>
        <w:t>倍不确定性因素与儿童和老年医学使用的药物风险评估的相关性</w:t>
      </w:r>
      <w:r w:rsidRPr="008E2B3B">
        <w:rPr>
          <w:rFonts w:eastAsia="宋体"/>
          <w:kern w:val="0"/>
          <w:szCs w:val="20"/>
        </w:rPr>
        <w:t>"</w:t>
      </w:r>
      <w:r w:rsidRPr="008E2B3B">
        <w:rPr>
          <w:rFonts w:eastAsia="宋体"/>
          <w:kern w:val="0"/>
          <w:szCs w:val="20"/>
        </w:rPr>
        <w:t>，人类生态风险评估，第</w:t>
      </w:r>
      <w:r w:rsidRPr="008E2B3B">
        <w:rPr>
          <w:rFonts w:eastAsia="宋体"/>
          <w:kern w:val="0"/>
          <w:szCs w:val="20"/>
        </w:rPr>
        <w:t>7</w:t>
      </w:r>
      <w:r w:rsidRPr="008E2B3B">
        <w:rPr>
          <w:rFonts w:eastAsia="宋体"/>
          <w:kern w:val="0"/>
          <w:szCs w:val="20"/>
        </w:rPr>
        <w:t>卷，第</w:t>
      </w:r>
      <w:r w:rsidRPr="008E2B3B">
        <w:rPr>
          <w:rFonts w:eastAsia="宋体"/>
          <w:kern w:val="0"/>
          <w:szCs w:val="20"/>
        </w:rPr>
        <w:t>1</w:t>
      </w:r>
      <w:r w:rsidRPr="008E2B3B">
        <w:rPr>
          <w:rFonts w:eastAsia="宋体"/>
          <w:kern w:val="0"/>
          <w:szCs w:val="20"/>
        </w:rPr>
        <w:t>号，</w:t>
      </w:r>
      <w:r w:rsidRPr="008E2B3B">
        <w:rPr>
          <w:rFonts w:eastAsia="宋体"/>
          <w:kern w:val="0"/>
          <w:szCs w:val="20"/>
        </w:rPr>
        <w:t>2001</w:t>
      </w:r>
      <w:r w:rsidRPr="008E2B3B">
        <w:rPr>
          <w:rFonts w:eastAsia="宋体"/>
          <w:kern w:val="0"/>
          <w:szCs w:val="20"/>
        </w:rPr>
        <w:t>年，第</w:t>
      </w:r>
      <w:r w:rsidRPr="008E2B3B">
        <w:rPr>
          <w:rFonts w:eastAsia="宋体"/>
          <w:kern w:val="0"/>
          <w:szCs w:val="20"/>
        </w:rPr>
        <w:t>139-152</w:t>
      </w:r>
      <w:r w:rsidRPr="008E2B3B">
        <w:rPr>
          <w:rFonts w:eastAsia="宋体"/>
          <w:kern w:val="0"/>
          <w:szCs w:val="20"/>
        </w:rPr>
        <w:t>页。</w:t>
      </w:r>
    </w:p>
    <w:p w14:paraId="026C5D11"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147</w:t>
      </w:r>
      <w:r w:rsidRPr="008E2B3B">
        <w:rPr>
          <w:rFonts w:eastAsia="宋体"/>
          <w:b/>
          <w:bCs/>
          <w:color w:val="FF0000"/>
          <w:kern w:val="0"/>
          <w:szCs w:val="20"/>
        </w:rPr>
        <w:t>）</w:t>
      </w:r>
      <w:r w:rsidRPr="008E2B3B">
        <w:rPr>
          <w:rFonts w:eastAsia="宋体"/>
          <w:b/>
          <w:bCs/>
          <w:color w:val="FF0000"/>
          <w:kern w:val="0"/>
          <w:szCs w:val="20"/>
        </w:rPr>
        <w:t xml:space="preserve"> </w:t>
      </w:r>
      <w:r w:rsidRPr="008E2B3B">
        <w:rPr>
          <w:rFonts w:eastAsia="宋体"/>
          <w:kern w:val="0"/>
          <w:szCs w:val="20"/>
        </w:rPr>
        <w:t>Norwood</w:t>
      </w:r>
      <w:r w:rsidRPr="008E2B3B">
        <w:rPr>
          <w:rFonts w:eastAsia="宋体"/>
          <w:kern w:val="0"/>
          <w:szCs w:val="20"/>
        </w:rPr>
        <w:t>，</w:t>
      </w:r>
      <w:r w:rsidRPr="008E2B3B">
        <w:rPr>
          <w:rFonts w:eastAsia="宋体"/>
          <w:kern w:val="0"/>
          <w:szCs w:val="20"/>
        </w:rPr>
        <w:t xml:space="preserve"> D. L.</w:t>
      </w:r>
      <w:r w:rsidRPr="008E2B3B">
        <w:rPr>
          <w:rFonts w:eastAsia="宋体"/>
          <w:kern w:val="0"/>
          <w:szCs w:val="20"/>
        </w:rPr>
        <w:t>等人，</w:t>
      </w:r>
      <w:r w:rsidRPr="008E2B3B">
        <w:rPr>
          <w:rFonts w:eastAsia="宋体"/>
          <w:kern w:val="0"/>
          <w:szCs w:val="20"/>
        </w:rPr>
        <w:t>"</w:t>
      </w:r>
      <w:r w:rsidRPr="008E2B3B">
        <w:rPr>
          <w:rFonts w:eastAsia="宋体"/>
          <w:kern w:val="0"/>
          <w:szCs w:val="20"/>
        </w:rPr>
        <w:t>口头吸入和鼻腔药物产品中可萃取物和浸出物的最佳做法：</w:t>
      </w:r>
      <w:r w:rsidRPr="008E2B3B">
        <w:rPr>
          <w:rFonts w:eastAsia="宋体"/>
          <w:kern w:val="0"/>
          <w:szCs w:val="20"/>
        </w:rPr>
        <w:t>PQRI</w:t>
      </w:r>
      <w:r w:rsidRPr="008E2B3B">
        <w:rPr>
          <w:rFonts w:eastAsia="宋体"/>
          <w:kern w:val="0"/>
          <w:szCs w:val="20"/>
        </w:rPr>
        <w:t>建</w:t>
      </w:r>
      <w:r w:rsidRPr="008E2B3B">
        <w:rPr>
          <w:rFonts w:eastAsia="宋体"/>
          <w:kern w:val="0"/>
          <w:szCs w:val="20"/>
        </w:rPr>
        <w:t>议的概述，</w:t>
      </w:r>
      <w:r w:rsidRPr="008E2B3B">
        <w:rPr>
          <w:rFonts w:eastAsia="宋体"/>
          <w:kern w:val="0"/>
          <w:szCs w:val="20"/>
        </w:rPr>
        <w:t>"Pharm Res</w:t>
      </w:r>
      <w:r w:rsidRPr="008E2B3B">
        <w:rPr>
          <w:rFonts w:eastAsia="宋体"/>
          <w:kern w:val="0"/>
          <w:szCs w:val="20"/>
        </w:rPr>
        <w:t>，第</w:t>
      </w:r>
      <w:r w:rsidRPr="008E2B3B">
        <w:rPr>
          <w:rFonts w:eastAsia="宋体"/>
          <w:kern w:val="0"/>
          <w:szCs w:val="20"/>
        </w:rPr>
        <w:t>25</w:t>
      </w:r>
      <w:r w:rsidRPr="008E2B3B">
        <w:rPr>
          <w:rFonts w:eastAsia="宋体"/>
          <w:kern w:val="0"/>
          <w:szCs w:val="20"/>
        </w:rPr>
        <w:t>卷，</w:t>
      </w:r>
      <w:r w:rsidRPr="008E2B3B">
        <w:rPr>
          <w:rFonts w:eastAsia="宋体"/>
          <w:kern w:val="0"/>
          <w:szCs w:val="20"/>
        </w:rPr>
        <w:t>2008</w:t>
      </w:r>
      <w:r w:rsidRPr="008E2B3B">
        <w:rPr>
          <w:rFonts w:eastAsia="宋体"/>
          <w:kern w:val="0"/>
          <w:szCs w:val="20"/>
        </w:rPr>
        <w:t>年第</w:t>
      </w:r>
      <w:r w:rsidRPr="008E2B3B">
        <w:rPr>
          <w:rFonts w:eastAsia="宋体"/>
          <w:kern w:val="0"/>
          <w:szCs w:val="20"/>
        </w:rPr>
        <w:t>4</w:t>
      </w:r>
      <w:r w:rsidRPr="008E2B3B">
        <w:rPr>
          <w:rFonts w:eastAsia="宋体"/>
          <w:kern w:val="0"/>
          <w:szCs w:val="20"/>
        </w:rPr>
        <w:t>号，第</w:t>
      </w:r>
      <w:r w:rsidRPr="008E2B3B">
        <w:rPr>
          <w:rFonts w:eastAsia="宋体"/>
          <w:kern w:val="0"/>
          <w:szCs w:val="20"/>
        </w:rPr>
        <w:t>727-739</w:t>
      </w:r>
      <w:r w:rsidRPr="008E2B3B">
        <w:rPr>
          <w:rFonts w:eastAsia="宋体"/>
          <w:kern w:val="0"/>
          <w:szCs w:val="20"/>
        </w:rPr>
        <w:t>页。</w:t>
      </w:r>
    </w:p>
    <w:p w14:paraId="123B153E" w14:textId="77777777" w:rsidR="00EC1A52" w:rsidRPr="008E2B3B" w:rsidRDefault="00EC1A52" w:rsidP="00EC1A52">
      <w:pPr>
        <w:spacing w:after="13" w:line="256" w:lineRule="auto"/>
        <w:ind w:left="452" w:hanging="452"/>
        <w:jc w:val="left"/>
        <w:rPr>
          <w:rFonts w:eastAsia="宋体"/>
          <w:kern w:val="0"/>
          <w:szCs w:val="20"/>
        </w:rPr>
      </w:pPr>
      <w:r w:rsidRPr="008E2B3B">
        <w:rPr>
          <w:rFonts w:eastAsia="宋体"/>
          <w:b/>
          <w:bCs/>
          <w:color w:val="FF0000"/>
          <w:kern w:val="0"/>
          <w:szCs w:val="20"/>
        </w:rPr>
        <w:t>（</w:t>
      </w:r>
      <w:r w:rsidRPr="008E2B3B">
        <w:rPr>
          <w:rFonts w:eastAsia="宋体"/>
          <w:b/>
          <w:bCs/>
          <w:color w:val="FF0000"/>
          <w:kern w:val="0"/>
          <w:szCs w:val="20"/>
        </w:rPr>
        <w:t>148</w:t>
      </w:r>
      <w:r w:rsidRPr="008E2B3B">
        <w:rPr>
          <w:rFonts w:eastAsia="宋体"/>
          <w:b/>
          <w:bCs/>
          <w:color w:val="FF0000"/>
          <w:kern w:val="0"/>
          <w:szCs w:val="20"/>
        </w:rPr>
        <w:t>）</w:t>
      </w:r>
      <w:r w:rsidRPr="008E2B3B">
        <w:rPr>
          <w:rFonts w:eastAsia="宋体"/>
          <w:b/>
          <w:bCs/>
          <w:color w:val="FF0000"/>
          <w:kern w:val="0"/>
          <w:szCs w:val="20"/>
        </w:rPr>
        <w:t xml:space="preserve"> </w:t>
      </w:r>
      <w:proofErr w:type="spellStart"/>
      <w:r w:rsidRPr="008E2B3B">
        <w:rPr>
          <w:rFonts w:eastAsia="宋体"/>
          <w:kern w:val="0"/>
          <w:szCs w:val="20"/>
        </w:rPr>
        <w:t>Paskiet</w:t>
      </w:r>
      <w:proofErr w:type="spellEnd"/>
      <w:r w:rsidRPr="008E2B3B">
        <w:rPr>
          <w:rFonts w:eastAsia="宋体"/>
          <w:kern w:val="0"/>
          <w:szCs w:val="20"/>
        </w:rPr>
        <w:t>，</w:t>
      </w:r>
      <w:r w:rsidRPr="008E2B3B">
        <w:rPr>
          <w:rFonts w:eastAsia="宋体"/>
          <w:kern w:val="0"/>
          <w:szCs w:val="20"/>
        </w:rPr>
        <w:t>D.</w:t>
      </w:r>
      <w:r w:rsidRPr="008E2B3B">
        <w:rPr>
          <w:rFonts w:eastAsia="宋体"/>
          <w:kern w:val="0"/>
          <w:szCs w:val="20"/>
        </w:rPr>
        <w:t>等人，</w:t>
      </w:r>
      <w:r w:rsidRPr="008E2B3B">
        <w:rPr>
          <w:rFonts w:eastAsia="宋体"/>
          <w:kern w:val="0"/>
          <w:szCs w:val="20"/>
        </w:rPr>
        <w:t>"</w:t>
      </w:r>
      <w:r w:rsidRPr="008E2B3B">
        <w:rPr>
          <w:rFonts w:eastAsia="宋体"/>
          <w:kern w:val="0"/>
          <w:szCs w:val="20"/>
        </w:rPr>
        <w:t>产品质量研究所（</w:t>
      </w:r>
      <w:r w:rsidRPr="008E2B3B">
        <w:rPr>
          <w:rFonts w:eastAsia="宋体"/>
          <w:kern w:val="0"/>
          <w:szCs w:val="20"/>
        </w:rPr>
        <w:t>PQRI</w:t>
      </w:r>
      <w:r w:rsidRPr="008E2B3B">
        <w:rPr>
          <w:rFonts w:eastAsia="宋体"/>
          <w:kern w:val="0"/>
          <w:szCs w:val="20"/>
        </w:rPr>
        <w:t>）可浸出和</w:t>
      </w:r>
      <w:proofErr w:type="gramStart"/>
      <w:r w:rsidRPr="008E2B3B">
        <w:rPr>
          <w:rFonts w:eastAsia="宋体"/>
          <w:kern w:val="0"/>
          <w:szCs w:val="20"/>
        </w:rPr>
        <w:t>可</w:t>
      </w:r>
      <w:proofErr w:type="gramEnd"/>
      <w:r w:rsidRPr="008E2B3B">
        <w:rPr>
          <w:rFonts w:eastAsia="宋体"/>
          <w:kern w:val="0"/>
          <w:szCs w:val="20"/>
        </w:rPr>
        <w:t>萃取的可浸液和</w:t>
      </w:r>
      <w:proofErr w:type="gramStart"/>
      <w:r w:rsidRPr="008E2B3B">
        <w:rPr>
          <w:rFonts w:eastAsia="宋体"/>
          <w:kern w:val="0"/>
          <w:szCs w:val="20"/>
        </w:rPr>
        <w:t>可</w:t>
      </w:r>
      <w:proofErr w:type="gramEnd"/>
      <w:r w:rsidRPr="008E2B3B">
        <w:rPr>
          <w:rFonts w:eastAsia="宋体"/>
          <w:kern w:val="0"/>
          <w:szCs w:val="20"/>
        </w:rPr>
        <w:t>萃取物工作组关于父母和眼科药物产品（</w:t>
      </w:r>
      <w:r w:rsidRPr="008E2B3B">
        <w:rPr>
          <w:rFonts w:eastAsia="宋体"/>
          <w:kern w:val="0"/>
          <w:szCs w:val="20"/>
        </w:rPr>
        <w:t>PODP</w:t>
      </w:r>
      <w:r w:rsidRPr="008E2B3B">
        <w:rPr>
          <w:rFonts w:eastAsia="宋体"/>
          <w:kern w:val="0"/>
          <w:szCs w:val="20"/>
        </w:rPr>
        <w:t>）的倡议</w:t>
      </w:r>
      <w:r w:rsidRPr="008E2B3B">
        <w:rPr>
          <w:rFonts w:eastAsia="宋体"/>
          <w:kern w:val="0"/>
          <w:szCs w:val="20"/>
        </w:rPr>
        <w:t>"</w:t>
      </w:r>
      <w:r w:rsidRPr="008E2B3B">
        <w:rPr>
          <w:rFonts w:eastAsia="宋体"/>
          <w:kern w:val="0"/>
          <w:szCs w:val="20"/>
        </w:rPr>
        <w:t>，</w:t>
      </w:r>
      <w:r w:rsidRPr="008E2B3B">
        <w:rPr>
          <w:rFonts w:eastAsia="宋体"/>
          <w:kern w:val="0"/>
          <w:szCs w:val="20"/>
        </w:rPr>
        <w:t xml:space="preserve">"PDA J Pharm </w:t>
      </w:r>
      <w:proofErr w:type="spellStart"/>
      <w:r w:rsidRPr="008E2B3B">
        <w:rPr>
          <w:rFonts w:eastAsia="宋体"/>
          <w:kern w:val="0"/>
          <w:szCs w:val="20"/>
        </w:rPr>
        <w:t>Scitechl</w:t>
      </w:r>
      <w:proofErr w:type="spellEnd"/>
      <w:r w:rsidRPr="008E2B3B">
        <w:rPr>
          <w:rFonts w:eastAsia="宋体"/>
          <w:kern w:val="0"/>
          <w:szCs w:val="20"/>
        </w:rPr>
        <w:t>，第</w:t>
      </w:r>
      <w:r w:rsidRPr="008E2B3B">
        <w:rPr>
          <w:rFonts w:eastAsia="宋体"/>
          <w:kern w:val="0"/>
          <w:szCs w:val="20"/>
        </w:rPr>
        <w:t>67</w:t>
      </w:r>
      <w:r w:rsidRPr="008E2B3B">
        <w:rPr>
          <w:rFonts w:eastAsia="宋体"/>
          <w:kern w:val="0"/>
          <w:szCs w:val="20"/>
        </w:rPr>
        <w:t>卷，第</w:t>
      </w:r>
      <w:r w:rsidRPr="008E2B3B">
        <w:rPr>
          <w:rFonts w:eastAsia="宋体"/>
          <w:kern w:val="0"/>
          <w:szCs w:val="20"/>
        </w:rPr>
        <w:t>5</w:t>
      </w:r>
      <w:r w:rsidRPr="008E2B3B">
        <w:rPr>
          <w:rFonts w:eastAsia="宋体"/>
          <w:kern w:val="0"/>
          <w:szCs w:val="20"/>
        </w:rPr>
        <w:t>号，</w:t>
      </w:r>
      <w:r w:rsidRPr="008E2B3B">
        <w:rPr>
          <w:rFonts w:eastAsia="宋体"/>
          <w:kern w:val="0"/>
          <w:szCs w:val="20"/>
        </w:rPr>
        <w:t>2013</w:t>
      </w:r>
      <w:r w:rsidRPr="008E2B3B">
        <w:rPr>
          <w:rFonts w:eastAsia="宋体"/>
          <w:kern w:val="0"/>
          <w:szCs w:val="20"/>
        </w:rPr>
        <w:t>年，第</w:t>
      </w:r>
      <w:r w:rsidRPr="008E2B3B">
        <w:rPr>
          <w:rFonts w:eastAsia="宋体"/>
          <w:kern w:val="0"/>
          <w:szCs w:val="20"/>
        </w:rPr>
        <w:t>430-447</w:t>
      </w:r>
      <w:r w:rsidRPr="008E2B3B">
        <w:rPr>
          <w:rFonts w:eastAsia="宋体"/>
          <w:kern w:val="0"/>
          <w:szCs w:val="20"/>
        </w:rPr>
        <w:t>页。</w:t>
      </w:r>
    </w:p>
    <w:p w14:paraId="0B60EEDE" w14:textId="77777777" w:rsidR="00EC1A52" w:rsidRDefault="00EC1A52" w:rsidP="00EC1A52">
      <w:pPr>
        <w:rPr>
          <w:rFonts w:ascii="宋体" w:eastAsia="宋体" w:hAnsi="宋体"/>
          <w:szCs w:val="20"/>
        </w:rPr>
        <w:sectPr w:rsidR="00EC1A52" w:rsidSect="00EC1A52">
          <w:type w:val="continuous"/>
          <w:pgSz w:w="11674" w:h="15625"/>
          <w:pgMar w:top="1188" w:right="759" w:bottom="993" w:left="818" w:header="720" w:footer="720" w:gutter="0"/>
          <w:cols w:num="2" w:space="720"/>
        </w:sectPr>
      </w:pPr>
    </w:p>
    <w:p w14:paraId="7FAAAA9D" w14:textId="7A64E2E2" w:rsidR="00EC1A52" w:rsidRPr="00EC1A52" w:rsidRDefault="00EC1A52" w:rsidP="00EC1A52">
      <w:pPr>
        <w:rPr>
          <w:rFonts w:ascii="宋体" w:eastAsia="宋体" w:hAnsi="宋体"/>
          <w:szCs w:val="20"/>
        </w:rPr>
      </w:pPr>
    </w:p>
    <w:p w14:paraId="5E23DC1B" w14:textId="0126F517" w:rsidR="00EC1A52" w:rsidRDefault="00EC1A52" w:rsidP="009A0AA3">
      <w:pPr>
        <w:ind w:firstLineChars="2200" w:firstLine="4417"/>
        <w:rPr>
          <w:rFonts w:ascii="宋体" w:eastAsia="宋体" w:hAnsi="宋体" w:cs="宋体"/>
          <w:b/>
        </w:rPr>
      </w:pPr>
      <w:r>
        <w:rPr>
          <w:rFonts w:ascii="宋体" w:eastAsia="宋体" w:hAnsi="宋体" w:cs="宋体" w:hint="eastAsia"/>
          <w:b/>
        </w:rPr>
        <w:t>原著参考资料</w:t>
      </w:r>
    </w:p>
    <w:p w14:paraId="56E687E8" w14:textId="0210EB69" w:rsidR="00EC1A52" w:rsidRDefault="00EC1A52" w:rsidP="009A0AA3">
      <w:pPr>
        <w:ind w:firstLineChars="2200" w:firstLine="4400"/>
        <w:sectPr w:rsidR="00EC1A52" w:rsidSect="00EC1A52">
          <w:type w:val="continuous"/>
          <w:pgSz w:w="11674" w:h="15625"/>
          <w:pgMar w:top="1188" w:right="192" w:bottom="5709" w:left="818" w:header="720" w:footer="720" w:gutter="0"/>
          <w:cols w:space="720"/>
        </w:sectPr>
      </w:pPr>
    </w:p>
    <w:p w14:paraId="64F8B70E" w14:textId="77777777" w:rsidR="0026097E" w:rsidRDefault="00284695">
      <w:pPr>
        <w:numPr>
          <w:ilvl w:val="0"/>
          <w:numId w:val="12"/>
        </w:numPr>
        <w:spacing w:after="13" w:line="257" w:lineRule="auto"/>
        <w:ind w:hanging="452"/>
      </w:pPr>
      <w:bookmarkStart w:id="1" w:name="_Hlk50054817"/>
      <w:proofErr w:type="spellStart"/>
      <w:r>
        <w:rPr>
          <w:sz w:val="17"/>
        </w:rPr>
        <w:t>Kerlin</w:t>
      </w:r>
      <w:proofErr w:type="spellEnd"/>
      <w:r>
        <w:rPr>
          <w:sz w:val="17"/>
        </w:rPr>
        <w:t xml:space="preserve">, R., et al., “Scientific and Regulatory Policy Committee: Recommended (“Best”) Practices for Determining, Communicating, and Using Adverse Effect Data from Nonclinical Studies,” </w:t>
      </w:r>
      <w:r>
        <w:rPr>
          <w:i/>
          <w:sz w:val="17"/>
        </w:rPr>
        <w:t>Toxicologic Pathology</w:t>
      </w:r>
      <w:r>
        <w:rPr>
          <w:sz w:val="17"/>
        </w:rPr>
        <w:t>, Vol 44, No. 2, 2016, pp. 147–162.</w:t>
      </w:r>
    </w:p>
    <w:p w14:paraId="349383E1" w14:textId="77777777" w:rsidR="0026097E" w:rsidRDefault="00284695">
      <w:pPr>
        <w:numPr>
          <w:ilvl w:val="0"/>
          <w:numId w:val="12"/>
        </w:numPr>
        <w:spacing w:after="13" w:line="257" w:lineRule="auto"/>
        <w:ind w:hanging="452"/>
      </w:pPr>
      <w:r>
        <w:rPr>
          <w:sz w:val="17"/>
        </w:rPr>
        <w:t xml:space="preserve">Palazzi, X., et al., “Characterizing “Adversity” of Pathology Findings in Nonclinical Toxicity Studies: Results from the 4th ESTP International Expert Workshop,” </w:t>
      </w:r>
      <w:r>
        <w:rPr>
          <w:i/>
          <w:sz w:val="17"/>
        </w:rPr>
        <w:t>Toxicologic Pathology</w:t>
      </w:r>
      <w:r>
        <w:rPr>
          <w:sz w:val="17"/>
        </w:rPr>
        <w:t>, Vol 44, No. 6, 2016, pp. 810–824.</w:t>
      </w:r>
    </w:p>
    <w:p w14:paraId="1A3728E1" w14:textId="77777777" w:rsidR="0026097E" w:rsidRDefault="00284695">
      <w:pPr>
        <w:numPr>
          <w:ilvl w:val="0"/>
          <w:numId w:val="12"/>
        </w:numPr>
        <w:spacing w:after="13" w:line="257" w:lineRule="auto"/>
        <w:ind w:hanging="452"/>
      </w:pPr>
      <w:proofErr w:type="spellStart"/>
      <w:r>
        <w:rPr>
          <w:sz w:val="17"/>
        </w:rPr>
        <w:t>Pandiri</w:t>
      </w:r>
      <w:proofErr w:type="spellEnd"/>
      <w:r>
        <w:rPr>
          <w:sz w:val="17"/>
        </w:rPr>
        <w:t xml:space="preserve">, A. R., et al., “Is It Adverse, </w:t>
      </w:r>
      <w:proofErr w:type="spellStart"/>
      <w:r>
        <w:rPr>
          <w:sz w:val="17"/>
        </w:rPr>
        <w:t>Nonadverse</w:t>
      </w:r>
      <w:proofErr w:type="spellEnd"/>
      <w:r>
        <w:rPr>
          <w:sz w:val="17"/>
        </w:rPr>
        <w:t xml:space="preserve">, Adaptive, or </w:t>
      </w:r>
      <w:proofErr w:type="gramStart"/>
      <w:r>
        <w:rPr>
          <w:sz w:val="17"/>
        </w:rPr>
        <w:t>Artifact?,</w:t>
      </w:r>
      <w:proofErr w:type="gramEnd"/>
      <w:r>
        <w:rPr>
          <w:sz w:val="17"/>
        </w:rPr>
        <w:t xml:space="preserve">” </w:t>
      </w:r>
      <w:r>
        <w:rPr>
          <w:i/>
          <w:sz w:val="17"/>
        </w:rPr>
        <w:t>Toxicologic Pathology</w:t>
      </w:r>
      <w:r>
        <w:rPr>
          <w:sz w:val="17"/>
        </w:rPr>
        <w:t>, Vol 45, No. 1, 2017, pp. 238–247.</w:t>
      </w:r>
    </w:p>
    <w:p w14:paraId="512806EB" w14:textId="77777777" w:rsidR="0026097E" w:rsidRDefault="00284695">
      <w:pPr>
        <w:numPr>
          <w:ilvl w:val="0"/>
          <w:numId w:val="12"/>
        </w:numPr>
        <w:spacing w:after="13" w:line="257" w:lineRule="auto"/>
        <w:ind w:hanging="452"/>
      </w:pPr>
      <w:r>
        <w:rPr>
          <w:sz w:val="17"/>
        </w:rPr>
        <w:t xml:space="preserve">EFSA Scientific Committee, “Guidance of the Scientific Committee on a request from EFSA on the use of the benchmark dose approach in risk assessment,” </w:t>
      </w:r>
      <w:r>
        <w:rPr>
          <w:i/>
          <w:sz w:val="17"/>
        </w:rPr>
        <w:t>EFSA Journal</w:t>
      </w:r>
      <w:r>
        <w:rPr>
          <w:sz w:val="17"/>
        </w:rPr>
        <w:t>, Vol 1150, 2009, pp. 1–72.</w:t>
      </w:r>
    </w:p>
    <w:p w14:paraId="079E54A5" w14:textId="77777777" w:rsidR="0026097E" w:rsidRDefault="00284695">
      <w:pPr>
        <w:numPr>
          <w:ilvl w:val="0"/>
          <w:numId w:val="12"/>
        </w:numPr>
        <w:spacing w:after="13" w:line="257" w:lineRule="auto"/>
        <w:ind w:hanging="452"/>
      </w:pPr>
      <w:r>
        <w:rPr>
          <w:sz w:val="17"/>
        </w:rPr>
        <w:t xml:space="preserve">EFSA Scientific Committee, “Update: use of the benchmark dose approach in risk assessment,” </w:t>
      </w:r>
      <w:r>
        <w:rPr>
          <w:i/>
          <w:sz w:val="17"/>
        </w:rPr>
        <w:t>EFSA Journal</w:t>
      </w:r>
      <w:r>
        <w:rPr>
          <w:sz w:val="17"/>
        </w:rPr>
        <w:t>, Vol 15, No. 1, 2017, p. 4658.</w:t>
      </w:r>
    </w:p>
    <w:p w14:paraId="6021E74D" w14:textId="77777777" w:rsidR="0026097E" w:rsidRDefault="00284695">
      <w:pPr>
        <w:numPr>
          <w:ilvl w:val="0"/>
          <w:numId w:val="12"/>
        </w:numPr>
        <w:spacing w:after="13" w:line="257" w:lineRule="auto"/>
        <w:ind w:hanging="452"/>
      </w:pPr>
      <w:r>
        <w:rPr>
          <w:i/>
          <w:sz w:val="17"/>
        </w:rPr>
        <w:t>Benchmark Dose Technical Guidance</w:t>
      </w:r>
      <w:r>
        <w:rPr>
          <w:sz w:val="17"/>
        </w:rPr>
        <w:t>, Risk Assessment Forum, U.S. Environmental Protection Agency, Washington, DC, 2012, p. 99.</w:t>
      </w:r>
    </w:p>
    <w:p w14:paraId="0FB35901" w14:textId="77777777" w:rsidR="0026097E" w:rsidRDefault="00284695">
      <w:pPr>
        <w:numPr>
          <w:ilvl w:val="0"/>
          <w:numId w:val="12"/>
        </w:numPr>
        <w:spacing w:after="13" w:line="257" w:lineRule="auto"/>
        <w:ind w:hanging="452"/>
      </w:pPr>
      <w:r>
        <w:rPr>
          <w:sz w:val="17"/>
        </w:rPr>
        <w:t>IARC Monographs on the Evaluation of Carcinogenic Risks to Humans, Vol 110, “Some Chemicals Used as Solvents and in Polymer Manufacture,” World Health Organization, International Agency for Research on Cancer, Lyon, France, 2016, p. 289.</w:t>
      </w:r>
    </w:p>
    <w:p w14:paraId="6E6A41A5" w14:textId="77777777" w:rsidR="0026097E" w:rsidRDefault="00284695">
      <w:pPr>
        <w:numPr>
          <w:ilvl w:val="0"/>
          <w:numId w:val="12"/>
        </w:numPr>
        <w:spacing w:after="13" w:line="257" w:lineRule="auto"/>
        <w:ind w:hanging="452"/>
      </w:pPr>
      <w:r>
        <w:rPr>
          <w:sz w:val="17"/>
        </w:rPr>
        <w:t xml:space="preserve">U.S. Environmental Protection Agency, </w:t>
      </w:r>
      <w:r>
        <w:rPr>
          <w:i/>
          <w:sz w:val="17"/>
        </w:rPr>
        <w:t>Glossary of IRIS Terms</w:t>
      </w:r>
      <w:r>
        <w:rPr>
          <w:sz w:val="17"/>
        </w:rPr>
        <w:t>, 2003, http://www.epa.gov/iris/gloss8.htm.</w:t>
      </w:r>
    </w:p>
    <w:p w14:paraId="7D653F50" w14:textId="77777777" w:rsidR="0026097E" w:rsidRDefault="00284695">
      <w:pPr>
        <w:numPr>
          <w:ilvl w:val="0"/>
          <w:numId w:val="12"/>
        </w:numPr>
        <w:spacing w:after="13" w:line="257" w:lineRule="auto"/>
        <w:ind w:hanging="452"/>
      </w:pPr>
      <w:r>
        <w:rPr>
          <w:sz w:val="17"/>
        </w:rPr>
        <w:t xml:space="preserve">Gould, J., et al., “Special endpoint and product specific considerations in pharmaceutical acceptable daily exposure derivation,” </w:t>
      </w:r>
      <w:r>
        <w:rPr>
          <w:i/>
          <w:sz w:val="17"/>
        </w:rPr>
        <w:t>Regulatory Toxicology and Pharmacology</w:t>
      </w:r>
      <w:r>
        <w:rPr>
          <w:sz w:val="17"/>
        </w:rPr>
        <w:t>, Vol 79, Suppl. 1, 2016, pp. S79–S93.</w:t>
      </w:r>
    </w:p>
    <w:p w14:paraId="303AE151" w14:textId="77777777" w:rsidR="0026097E" w:rsidRDefault="00284695">
      <w:pPr>
        <w:numPr>
          <w:ilvl w:val="0"/>
          <w:numId w:val="12"/>
        </w:numPr>
        <w:spacing w:after="13" w:line="257" w:lineRule="auto"/>
        <w:ind w:hanging="452"/>
      </w:pPr>
      <w:r>
        <w:rPr>
          <w:sz w:val="17"/>
        </w:rPr>
        <w:t>Hausmann, O., Schnyder, B., and Pichler, W. J., “Etiology and pathogenesis of adverse drug reactions</w:t>
      </w:r>
      <w:proofErr w:type="gramStart"/>
      <w:r>
        <w:rPr>
          <w:sz w:val="17"/>
        </w:rPr>
        <w:t>, ”</w:t>
      </w:r>
      <w:proofErr w:type="gramEnd"/>
      <w:r>
        <w:rPr>
          <w:sz w:val="17"/>
        </w:rPr>
        <w:t xml:space="preserve"> </w:t>
      </w:r>
      <w:r>
        <w:rPr>
          <w:i/>
          <w:sz w:val="17"/>
        </w:rPr>
        <w:t>Chemical Immunology and Allergy</w:t>
      </w:r>
      <w:r>
        <w:rPr>
          <w:sz w:val="17"/>
        </w:rPr>
        <w:t>, Vol 97, 2012, pp. 32–46.</w:t>
      </w:r>
    </w:p>
    <w:p w14:paraId="5DE2A0A3" w14:textId="77777777" w:rsidR="0026097E" w:rsidRDefault="00284695">
      <w:pPr>
        <w:numPr>
          <w:ilvl w:val="0"/>
          <w:numId w:val="12"/>
        </w:numPr>
        <w:spacing w:after="13" w:line="255" w:lineRule="auto"/>
        <w:ind w:hanging="452"/>
      </w:pPr>
      <w:r>
        <w:rPr>
          <w:i/>
          <w:sz w:val="17"/>
        </w:rPr>
        <w:t>A Summary of General Assessment Factors for Evaluating the Quality of Scientific and Technical Information</w:t>
      </w:r>
      <w:r>
        <w:rPr>
          <w:sz w:val="17"/>
        </w:rPr>
        <w:t>, Science Policy Council, U.S. Environmental Protection Agency, Washington, DC, 2003.</w:t>
      </w:r>
    </w:p>
    <w:p w14:paraId="5A39809A" w14:textId="77777777" w:rsidR="0026097E" w:rsidRDefault="00284695">
      <w:pPr>
        <w:numPr>
          <w:ilvl w:val="0"/>
          <w:numId w:val="12"/>
        </w:numPr>
        <w:spacing w:after="13" w:line="257" w:lineRule="auto"/>
        <w:ind w:hanging="452"/>
      </w:pPr>
      <w:r>
        <w:rPr>
          <w:sz w:val="17"/>
        </w:rPr>
        <w:t xml:space="preserve">“Guidance for Evaluating and Documenting the Quality of Existing Scientific and Technical Information,” Addendum to: </w:t>
      </w:r>
      <w:r>
        <w:rPr>
          <w:i/>
          <w:sz w:val="17"/>
        </w:rPr>
        <w:t>A Summary of General Assessment Factors for Evaluating the Quality of Scientific and Technical Information</w:t>
      </w:r>
      <w:r>
        <w:rPr>
          <w:sz w:val="17"/>
        </w:rPr>
        <w:t>, Science Policy Council, U.S. Environmental Protection Agency, Washington, DC, 2012.</w:t>
      </w:r>
    </w:p>
    <w:p w14:paraId="6B0789A8" w14:textId="77777777" w:rsidR="0026097E" w:rsidRDefault="00284695">
      <w:pPr>
        <w:numPr>
          <w:ilvl w:val="0"/>
          <w:numId w:val="12"/>
        </w:numPr>
        <w:spacing w:after="13" w:line="257" w:lineRule="auto"/>
        <w:ind w:hanging="452"/>
      </w:pPr>
      <w:r>
        <w:rPr>
          <w:sz w:val="17"/>
        </w:rPr>
        <w:t xml:space="preserve">IPCS Risk Assessment Terminology. Part 1: IPCS/OECD Key Generic Terms used in Chemical Hazard/Risk Assessment &amp; Part 2: IPCS Glossary of Key Exposure Assessment Terminology, International </w:t>
      </w:r>
      <w:proofErr w:type="spellStart"/>
      <w:r>
        <w:rPr>
          <w:sz w:val="17"/>
        </w:rPr>
        <w:t>Programme</w:t>
      </w:r>
      <w:proofErr w:type="spellEnd"/>
      <w:r>
        <w:rPr>
          <w:sz w:val="17"/>
        </w:rPr>
        <w:t xml:space="preserve"> on Chemical Safety, IPCS Harmonization Project, Geneva, published under the joint sponsorship of the United Nations Environment </w:t>
      </w:r>
      <w:proofErr w:type="spellStart"/>
      <w:r>
        <w:rPr>
          <w:sz w:val="17"/>
        </w:rPr>
        <w:t>Programme</w:t>
      </w:r>
      <w:proofErr w:type="spellEnd"/>
      <w:r>
        <w:rPr>
          <w:sz w:val="17"/>
        </w:rPr>
        <w:t xml:space="preserve">, the International </w:t>
      </w:r>
      <w:proofErr w:type="spellStart"/>
      <w:r>
        <w:rPr>
          <w:sz w:val="17"/>
        </w:rPr>
        <w:t>Labour</w:t>
      </w:r>
      <w:proofErr w:type="spellEnd"/>
      <w:r>
        <w:rPr>
          <w:sz w:val="17"/>
        </w:rPr>
        <w:t xml:space="preserve"> Organization, and the World Health Organization, and produced within the framework of the Inter-Organization </w:t>
      </w:r>
      <w:proofErr w:type="spellStart"/>
      <w:r>
        <w:rPr>
          <w:sz w:val="17"/>
        </w:rPr>
        <w:t>Programme</w:t>
      </w:r>
      <w:proofErr w:type="spellEnd"/>
      <w:r>
        <w:rPr>
          <w:sz w:val="17"/>
        </w:rPr>
        <w:t xml:space="preserve"> for the Sound Management of Chemicals, 2004, p. 122.</w:t>
      </w:r>
    </w:p>
    <w:p w14:paraId="1B38D996" w14:textId="77777777" w:rsidR="0026097E" w:rsidRDefault="00284695">
      <w:pPr>
        <w:numPr>
          <w:ilvl w:val="0"/>
          <w:numId w:val="12"/>
        </w:numPr>
        <w:spacing w:after="13" w:line="257" w:lineRule="auto"/>
        <w:ind w:hanging="452"/>
      </w:pPr>
      <w:r>
        <w:rPr>
          <w:sz w:val="17"/>
        </w:rPr>
        <w:t xml:space="preserve">Guideline on setting </w:t>
      </w:r>
      <w:proofErr w:type="gramStart"/>
      <w:r>
        <w:rPr>
          <w:sz w:val="17"/>
        </w:rPr>
        <w:t>health based</w:t>
      </w:r>
      <w:proofErr w:type="gramEnd"/>
      <w:r>
        <w:rPr>
          <w:sz w:val="17"/>
        </w:rPr>
        <w:t xml:space="preserve"> exposure limits for use in risk identification in the manufacture of different medicinal products in shared facilities, (EMA/CHMP/CVMP/SWP/169430/2012). European Medicines Agency, London, United Kingdom, 2014.</w:t>
      </w:r>
    </w:p>
    <w:p w14:paraId="6F00042A" w14:textId="77777777" w:rsidR="0026097E" w:rsidRDefault="00284695">
      <w:pPr>
        <w:numPr>
          <w:ilvl w:val="0"/>
          <w:numId w:val="12"/>
        </w:numPr>
        <w:spacing w:after="13" w:line="257" w:lineRule="auto"/>
        <w:ind w:hanging="452"/>
      </w:pPr>
      <w:r>
        <w:rPr>
          <w:sz w:val="17"/>
        </w:rPr>
        <w:t>Questions and answers on implementation of risk-based prevention of cross-contamination in production and ‘Guideline on setting health-based exposure limits for use in risk identification in the manufacture of different medicinal products in shared facilities,’ (EMA/CHMP/CVMP/SWP/169430/2012) (19 April 2018), European Medicines Agency, London, United Kingdom, 2018.</w:t>
      </w:r>
    </w:p>
    <w:p w14:paraId="6EACB3B2" w14:textId="77777777" w:rsidR="0026097E" w:rsidRDefault="00284695">
      <w:pPr>
        <w:numPr>
          <w:ilvl w:val="0"/>
          <w:numId w:val="12"/>
        </w:numPr>
        <w:spacing w:after="13" w:line="257" w:lineRule="auto"/>
        <w:ind w:hanging="452"/>
      </w:pPr>
      <w:r>
        <w:rPr>
          <w:sz w:val="17"/>
        </w:rPr>
        <w:t xml:space="preserve">National Research Council, </w:t>
      </w:r>
      <w:r>
        <w:rPr>
          <w:i/>
          <w:sz w:val="17"/>
        </w:rPr>
        <w:t>Toxicity Testing in the 21st Century: A Vision and a Strategy</w:t>
      </w:r>
      <w:r>
        <w:rPr>
          <w:sz w:val="17"/>
        </w:rPr>
        <w:t>, National Academies Press, Washington, DC, 2007, 216 pp.</w:t>
      </w:r>
    </w:p>
    <w:p w14:paraId="727697FE" w14:textId="77777777" w:rsidR="0026097E" w:rsidRDefault="00284695">
      <w:pPr>
        <w:numPr>
          <w:ilvl w:val="0"/>
          <w:numId w:val="12"/>
        </w:numPr>
        <w:spacing w:after="13" w:line="257" w:lineRule="auto"/>
        <w:ind w:hanging="452"/>
      </w:pPr>
      <w:r>
        <w:rPr>
          <w:sz w:val="17"/>
        </w:rPr>
        <w:t xml:space="preserve">U.S. Environmental Protection Agency, </w:t>
      </w:r>
      <w:r>
        <w:rPr>
          <w:i/>
          <w:sz w:val="17"/>
        </w:rPr>
        <w:t>Guidelines for Carcinogen Risk Assessment</w:t>
      </w:r>
      <w:r>
        <w:rPr>
          <w:sz w:val="17"/>
        </w:rPr>
        <w:t>, Risk Assessment Forum, NCEA, Washington, DC, 2005, p. 166.</w:t>
      </w:r>
    </w:p>
    <w:p w14:paraId="4AB1CD81" w14:textId="77777777" w:rsidR="0026097E" w:rsidRDefault="00284695">
      <w:pPr>
        <w:numPr>
          <w:ilvl w:val="0"/>
          <w:numId w:val="12"/>
        </w:numPr>
        <w:spacing w:after="13" w:line="257" w:lineRule="auto"/>
        <w:ind w:hanging="452"/>
      </w:pPr>
      <w:proofErr w:type="spellStart"/>
      <w:r>
        <w:rPr>
          <w:sz w:val="17"/>
        </w:rPr>
        <w:t>Bercu</w:t>
      </w:r>
      <w:proofErr w:type="spellEnd"/>
      <w:r>
        <w:rPr>
          <w:sz w:val="17"/>
        </w:rPr>
        <w:t>, J. P., et al., “Point of departure (</w:t>
      </w:r>
      <w:proofErr w:type="spellStart"/>
      <w:r>
        <w:rPr>
          <w:sz w:val="17"/>
        </w:rPr>
        <w:t>PoD</w:t>
      </w:r>
      <w:proofErr w:type="spellEnd"/>
      <w:r>
        <w:rPr>
          <w:sz w:val="17"/>
        </w:rPr>
        <w:t xml:space="preserve">) selection for the derivation of acceptable daily exposures (ADEs) for active pharmaceutical ingredients (APIs),” </w:t>
      </w:r>
      <w:r>
        <w:rPr>
          <w:i/>
          <w:sz w:val="17"/>
        </w:rPr>
        <w:t>Regulatory Toxicology and Pharmacology</w:t>
      </w:r>
      <w:r>
        <w:rPr>
          <w:sz w:val="17"/>
        </w:rPr>
        <w:t>, Vol 79, Suppl. 1, 2016, pp. S48–S56.</w:t>
      </w:r>
    </w:p>
    <w:p w14:paraId="2225ACCD" w14:textId="77777777" w:rsidR="0026097E" w:rsidRDefault="00284695">
      <w:pPr>
        <w:numPr>
          <w:ilvl w:val="0"/>
          <w:numId w:val="12"/>
        </w:numPr>
        <w:spacing w:after="13" w:line="257" w:lineRule="auto"/>
        <w:ind w:hanging="452"/>
      </w:pPr>
      <w:proofErr w:type="spellStart"/>
      <w:r>
        <w:rPr>
          <w:sz w:val="17"/>
        </w:rPr>
        <w:t>Klimisch</w:t>
      </w:r>
      <w:proofErr w:type="spellEnd"/>
      <w:r>
        <w:rPr>
          <w:sz w:val="17"/>
        </w:rPr>
        <w:t xml:space="preserve">, H. J., </w:t>
      </w:r>
      <w:proofErr w:type="spellStart"/>
      <w:r>
        <w:rPr>
          <w:sz w:val="17"/>
        </w:rPr>
        <w:t>Andreae</w:t>
      </w:r>
      <w:proofErr w:type="spellEnd"/>
      <w:r>
        <w:rPr>
          <w:sz w:val="17"/>
        </w:rPr>
        <w:t xml:space="preserve">, M., and </w:t>
      </w:r>
      <w:proofErr w:type="spellStart"/>
      <w:r>
        <w:rPr>
          <w:sz w:val="17"/>
        </w:rPr>
        <w:t>Tillmann</w:t>
      </w:r>
      <w:proofErr w:type="spellEnd"/>
      <w:r>
        <w:rPr>
          <w:sz w:val="17"/>
        </w:rPr>
        <w:t xml:space="preserve">, U., “A systematic approach for evaluating the quality of experimental toxicological and ecotoxicological data,” </w:t>
      </w:r>
      <w:r>
        <w:rPr>
          <w:i/>
          <w:sz w:val="17"/>
        </w:rPr>
        <w:t>Regulatory Toxicology and Pharmacology</w:t>
      </w:r>
      <w:r>
        <w:rPr>
          <w:sz w:val="17"/>
        </w:rPr>
        <w:t>, Vol 25, No. 1, 1997, pp. 1–5.</w:t>
      </w:r>
    </w:p>
    <w:p w14:paraId="1A62ED45" w14:textId="77777777" w:rsidR="0026097E" w:rsidRDefault="00284695">
      <w:pPr>
        <w:numPr>
          <w:ilvl w:val="0"/>
          <w:numId w:val="12"/>
        </w:numPr>
        <w:spacing w:after="13" w:line="257" w:lineRule="auto"/>
        <w:ind w:hanging="452"/>
      </w:pPr>
      <w:proofErr w:type="spellStart"/>
      <w:r>
        <w:rPr>
          <w:sz w:val="17"/>
        </w:rPr>
        <w:t>Moermond</w:t>
      </w:r>
      <w:proofErr w:type="spellEnd"/>
      <w:r>
        <w:rPr>
          <w:sz w:val="17"/>
        </w:rPr>
        <w:t xml:space="preserve">, C., et al., “Assessing the reliability of ecotoxicological studies: An overview of current needs and approaches,” </w:t>
      </w:r>
      <w:r>
        <w:rPr>
          <w:i/>
          <w:sz w:val="17"/>
        </w:rPr>
        <w:t>Integrated Environmental Assessment and Management</w:t>
      </w:r>
      <w:r>
        <w:rPr>
          <w:sz w:val="17"/>
        </w:rPr>
        <w:t>, Vol 13, No. 4, 2017, p. 640–651.</w:t>
      </w:r>
    </w:p>
    <w:p w14:paraId="60353DC4" w14:textId="77777777" w:rsidR="0026097E" w:rsidRDefault="00284695">
      <w:pPr>
        <w:numPr>
          <w:ilvl w:val="0"/>
          <w:numId w:val="12"/>
        </w:numPr>
        <w:spacing w:after="13" w:line="257" w:lineRule="auto"/>
        <w:ind w:hanging="452"/>
      </w:pPr>
      <w:r>
        <w:rPr>
          <w:sz w:val="17"/>
        </w:rPr>
        <w:t xml:space="preserve">National Research Council, </w:t>
      </w:r>
      <w:r>
        <w:rPr>
          <w:i/>
          <w:sz w:val="17"/>
        </w:rPr>
        <w:t>Risk Assessment in the Federal Government: Managing the Process</w:t>
      </w:r>
      <w:r>
        <w:rPr>
          <w:sz w:val="17"/>
        </w:rPr>
        <w:t>, National Academies Press, Washington, DC, 1983, 191 pp.</w:t>
      </w:r>
    </w:p>
    <w:p w14:paraId="758F6FE7" w14:textId="77777777" w:rsidR="0026097E" w:rsidRDefault="00284695">
      <w:pPr>
        <w:numPr>
          <w:ilvl w:val="0"/>
          <w:numId w:val="12"/>
        </w:numPr>
        <w:spacing w:after="13" w:line="257" w:lineRule="auto"/>
        <w:ind w:hanging="452"/>
      </w:pPr>
      <w:r>
        <w:rPr>
          <w:sz w:val="17"/>
        </w:rPr>
        <w:t xml:space="preserve">National Research Council, </w:t>
      </w:r>
      <w:r>
        <w:rPr>
          <w:i/>
          <w:sz w:val="17"/>
        </w:rPr>
        <w:t>Science and Judgment in Risk Assessment</w:t>
      </w:r>
      <w:r>
        <w:rPr>
          <w:sz w:val="17"/>
        </w:rPr>
        <w:t>, National Academies Press, Washington, DC, 1994, 672 pp.</w:t>
      </w:r>
    </w:p>
    <w:p w14:paraId="1AC4D9BF" w14:textId="77777777" w:rsidR="0026097E" w:rsidRDefault="00284695">
      <w:pPr>
        <w:numPr>
          <w:ilvl w:val="0"/>
          <w:numId w:val="12"/>
        </w:numPr>
        <w:spacing w:after="13" w:line="257" w:lineRule="auto"/>
        <w:ind w:hanging="452"/>
      </w:pPr>
      <w:r>
        <w:rPr>
          <w:sz w:val="17"/>
        </w:rPr>
        <w:t xml:space="preserve">“Scientific Opinion on Exploring options for providing advice about possible human health risks based on the concept of Threshold of Toxicological Concern (TTC),” </w:t>
      </w:r>
      <w:r>
        <w:rPr>
          <w:i/>
          <w:sz w:val="17"/>
        </w:rPr>
        <w:t>EFSA Journal</w:t>
      </w:r>
      <w:r>
        <w:rPr>
          <w:sz w:val="17"/>
        </w:rPr>
        <w:t>, Vol 10, No. 7, 2012.</w:t>
      </w:r>
    </w:p>
    <w:p w14:paraId="0CE22C5D" w14:textId="77777777" w:rsidR="0026097E" w:rsidRDefault="00284695">
      <w:pPr>
        <w:numPr>
          <w:ilvl w:val="0"/>
          <w:numId w:val="12"/>
        </w:numPr>
        <w:spacing w:after="13" w:line="257" w:lineRule="auto"/>
        <w:ind w:hanging="452"/>
      </w:pPr>
      <w:r>
        <w:rPr>
          <w:sz w:val="17"/>
        </w:rPr>
        <w:t>EFSA, “Review of the Threshold of Toxicological Concern (TTC) approach and development of new TTC decision tree,” 2016, p. 50.</w:t>
      </w:r>
    </w:p>
    <w:p w14:paraId="5BCC9332" w14:textId="77777777" w:rsidR="0026097E" w:rsidRDefault="00284695">
      <w:pPr>
        <w:numPr>
          <w:ilvl w:val="0"/>
          <w:numId w:val="12"/>
        </w:numPr>
        <w:spacing w:after="13" w:line="257" w:lineRule="auto"/>
        <w:ind w:hanging="452"/>
      </w:pPr>
      <w:r>
        <w:rPr>
          <w:sz w:val="17"/>
        </w:rPr>
        <w:t xml:space="preserve">U.S. Environmental Protection Agency, </w:t>
      </w:r>
      <w:r>
        <w:rPr>
          <w:i/>
          <w:sz w:val="17"/>
        </w:rPr>
        <w:t>Guiding Principles for Monte Carlo Analysis</w:t>
      </w:r>
      <w:r>
        <w:rPr>
          <w:sz w:val="17"/>
        </w:rPr>
        <w:t>, Risk Assessment Forum, Washington, DC, 1997.</w:t>
      </w:r>
    </w:p>
    <w:p w14:paraId="5237D3D5" w14:textId="77777777" w:rsidR="0026097E" w:rsidRDefault="00284695">
      <w:pPr>
        <w:numPr>
          <w:ilvl w:val="0"/>
          <w:numId w:val="12"/>
        </w:numPr>
        <w:spacing w:after="13" w:line="257" w:lineRule="auto"/>
        <w:ind w:hanging="452"/>
      </w:pPr>
      <w:r>
        <w:rPr>
          <w:sz w:val="17"/>
        </w:rPr>
        <w:t xml:space="preserve">EFSA Scientific Committee, “The principles and methods behind EFSA’s Guidance on Uncertainty Analysis in Scientific Assessment,” </w:t>
      </w:r>
      <w:r>
        <w:rPr>
          <w:i/>
          <w:sz w:val="17"/>
        </w:rPr>
        <w:t>EFSA Journal</w:t>
      </w:r>
      <w:r>
        <w:rPr>
          <w:sz w:val="17"/>
        </w:rPr>
        <w:t>, Vol 16, No. 1, 2018, p. 5122.</w:t>
      </w:r>
    </w:p>
    <w:p w14:paraId="42C67715" w14:textId="77777777" w:rsidR="0026097E" w:rsidRDefault="00284695">
      <w:pPr>
        <w:numPr>
          <w:ilvl w:val="0"/>
          <w:numId w:val="12"/>
        </w:numPr>
        <w:spacing w:after="13" w:line="257" w:lineRule="auto"/>
        <w:ind w:hanging="452"/>
      </w:pPr>
      <w:r>
        <w:rPr>
          <w:sz w:val="17"/>
        </w:rPr>
        <w:t xml:space="preserve">“EudraLex: The Rules Governing Medicinal Products in the European Union,” Vol 4, </w:t>
      </w:r>
      <w:r>
        <w:rPr>
          <w:i/>
          <w:sz w:val="17"/>
        </w:rPr>
        <w:t>EU Guidelines for Good Manufacturing Practice for Medicinal Products for Human and Veterinary Use</w:t>
      </w:r>
      <w:r>
        <w:rPr>
          <w:sz w:val="17"/>
        </w:rPr>
        <w:t xml:space="preserve">, Part 1, Chapter 5: Production, Health and Consumers </w:t>
      </w:r>
      <w:proofErr w:type="spellStart"/>
      <w:r>
        <w:rPr>
          <w:sz w:val="17"/>
        </w:rPr>
        <w:lastRenderedPageBreak/>
        <w:t>DirectorateGeneral</w:t>
      </w:r>
      <w:proofErr w:type="spellEnd"/>
      <w:r>
        <w:rPr>
          <w:sz w:val="17"/>
        </w:rPr>
        <w:t>, European Commission, Brussels, Belgium, 2014, p. 12.</w:t>
      </w:r>
    </w:p>
    <w:p w14:paraId="52D33F43" w14:textId="77777777" w:rsidR="0026097E" w:rsidRDefault="00284695">
      <w:pPr>
        <w:numPr>
          <w:ilvl w:val="0"/>
          <w:numId w:val="12"/>
        </w:numPr>
        <w:spacing w:after="13" w:line="257" w:lineRule="auto"/>
        <w:ind w:hanging="452"/>
      </w:pPr>
      <w:r>
        <w:rPr>
          <w:sz w:val="17"/>
        </w:rPr>
        <w:t xml:space="preserve">“EudraLex: The Rules Governing Medicinal Products in the European Union,” Vol 4, </w:t>
      </w:r>
      <w:r>
        <w:rPr>
          <w:i/>
          <w:sz w:val="17"/>
        </w:rPr>
        <w:t>EU Guidelines for Good Manufacturing Practice for Medicinal Products for Human and Veterinary Use</w:t>
      </w:r>
      <w:r>
        <w:rPr>
          <w:sz w:val="17"/>
        </w:rPr>
        <w:t>. Part 1, Chapter 3: Premises and Equipment, Health and Consumers Directorate-General, European Commission, Brussels, Belgium, 2014, p. 5.</w:t>
      </w:r>
    </w:p>
    <w:p w14:paraId="0D2ED6FE" w14:textId="77777777" w:rsidR="0026097E" w:rsidRDefault="00284695">
      <w:pPr>
        <w:numPr>
          <w:ilvl w:val="0"/>
          <w:numId w:val="12"/>
        </w:numPr>
        <w:spacing w:after="13" w:line="255" w:lineRule="auto"/>
        <w:ind w:hanging="452"/>
      </w:pPr>
      <w:r>
        <w:rPr>
          <w:i/>
          <w:sz w:val="17"/>
        </w:rPr>
        <w:t>Baseline Pharmaceutical Engineering Guide: Risk-Based Manufacture of Pharmaceutical Products: A Guide to Managing Risks Associated with Cross-Contamination</w:t>
      </w:r>
      <w:r>
        <w:rPr>
          <w:sz w:val="17"/>
        </w:rPr>
        <w:t>, 2nd ed., Vol 7, 2017, ISPE, Tampa, FL, 176 pp.</w:t>
      </w:r>
    </w:p>
    <w:p w14:paraId="58FA8618" w14:textId="77777777" w:rsidR="0026097E" w:rsidRDefault="00284695">
      <w:pPr>
        <w:numPr>
          <w:ilvl w:val="0"/>
          <w:numId w:val="12"/>
        </w:numPr>
        <w:spacing w:after="13" w:line="257" w:lineRule="auto"/>
        <w:ind w:hanging="452"/>
      </w:pPr>
      <w:r>
        <w:rPr>
          <w:i/>
          <w:sz w:val="17"/>
        </w:rPr>
        <w:t>ABT Certification Handbook</w:t>
      </w:r>
      <w:r>
        <w:rPr>
          <w:sz w:val="17"/>
        </w:rPr>
        <w:t>, American Board of Toxicology, updated April 2018, https://www.abtox.org/wp-content/uploads/2019/ 02/Certification-Manual-2019.pdf.</w:t>
      </w:r>
    </w:p>
    <w:p w14:paraId="1DF72CEC" w14:textId="77777777" w:rsidR="0026097E" w:rsidRDefault="00284695">
      <w:pPr>
        <w:numPr>
          <w:ilvl w:val="0"/>
          <w:numId w:val="12"/>
        </w:numPr>
        <w:spacing w:after="13" w:line="259" w:lineRule="auto"/>
        <w:ind w:hanging="452"/>
      </w:pPr>
      <w:r>
        <w:rPr>
          <w:i/>
          <w:sz w:val="17"/>
        </w:rPr>
        <w:t>The European Registered Toxicologist (ERT): Guidelines for Registration</w:t>
      </w:r>
      <w:r>
        <w:rPr>
          <w:sz w:val="17"/>
        </w:rPr>
        <w:t>,</w:t>
      </w:r>
      <w:r>
        <w:rPr>
          <w:sz w:val="17"/>
        </w:rPr>
        <w:tab/>
        <w:t>2016,</w:t>
      </w:r>
      <w:r>
        <w:rPr>
          <w:sz w:val="17"/>
        </w:rPr>
        <w:tab/>
        <w:t>http://www.eurotox.com/sub/eurotox.com/ images/</w:t>
      </w:r>
      <w:proofErr w:type="spellStart"/>
      <w:r>
        <w:rPr>
          <w:sz w:val="17"/>
        </w:rPr>
        <w:t>ert</w:t>
      </w:r>
      <w:proofErr w:type="spellEnd"/>
      <w:r>
        <w:rPr>
          <w:sz w:val="17"/>
        </w:rPr>
        <w:t>/ert-guideline-updated-2016/</w:t>
      </w:r>
      <w:proofErr w:type="spellStart"/>
      <w:r>
        <w:rPr>
          <w:sz w:val="17"/>
        </w:rPr>
        <w:t>ERT_GUIDELINES_Main</w:t>
      </w:r>
      <w:proofErr w:type="spellEnd"/>
      <w:r>
        <w:rPr>
          <w:sz w:val="17"/>
        </w:rPr>
        <w:t>_ text_2016.pdf.</w:t>
      </w:r>
    </w:p>
    <w:p w14:paraId="2E832A49" w14:textId="77777777" w:rsidR="0026097E" w:rsidRDefault="00284695">
      <w:pPr>
        <w:numPr>
          <w:ilvl w:val="0"/>
          <w:numId w:val="12"/>
        </w:numPr>
        <w:spacing w:after="13" w:line="257" w:lineRule="auto"/>
        <w:ind w:hanging="452"/>
      </w:pPr>
      <w:r>
        <w:rPr>
          <w:sz w:val="17"/>
        </w:rPr>
        <w:t xml:space="preserve">Joint Research Center, </w:t>
      </w:r>
      <w:proofErr w:type="spellStart"/>
      <w:r>
        <w:rPr>
          <w:sz w:val="17"/>
        </w:rPr>
        <w:t>ToxRTool</w:t>
      </w:r>
      <w:proofErr w:type="spellEnd"/>
      <w:r>
        <w:rPr>
          <w:sz w:val="17"/>
        </w:rPr>
        <w:t xml:space="preserve"> — Toxicological Data Reliability Assessment Tool, European Commission, 2017.</w:t>
      </w:r>
    </w:p>
    <w:p w14:paraId="78F9F01C" w14:textId="77777777" w:rsidR="0026097E" w:rsidRDefault="00284695">
      <w:pPr>
        <w:numPr>
          <w:ilvl w:val="0"/>
          <w:numId w:val="12"/>
        </w:numPr>
        <w:spacing w:after="13" w:line="257" w:lineRule="auto"/>
        <w:ind w:hanging="452"/>
      </w:pPr>
      <w:r>
        <w:rPr>
          <w:sz w:val="17"/>
        </w:rPr>
        <w:t xml:space="preserve">West, S., et al., “Systems to Rate the Strength </w:t>
      </w:r>
      <w:proofErr w:type="gramStart"/>
      <w:r>
        <w:rPr>
          <w:sz w:val="17"/>
        </w:rPr>
        <w:t>Of</w:t>
      </w:r>
      <w:proofErr w:type="gramEnd"/>
      <w:r>
        <w:rPr>
          <w:sz w:val="17"/>
        </w:rPr>
        <w:t xml:space="preserve"> Scientific Evidence,” in </w:t>
      </w:r>
      <w:r>
        <w:rPr>
          <w:i/>
          <w:sz w:val="17"/>
        </w:rPr>
        <w:t>Evidence Reports/Technology Assessments</w:t>
      </w:r>
      <w:r>
        <w:rPr>
          <w:sz w:val="17"/>
        </w:rPr>
        <w:t>, No. 47, prepared by Research Triangle Institute–University of North Caro-</w:t>
      </w:r>
    </w:p>
    <w:p w14:paraId="277D47DA" w14:textId="77777777" w:rsidR="0026097E" w:rsidRDefault="00284695">
      <w:pPr>
        <w:spacing w:after="13" w:line="257" w:lineRule="auto"/>
        <w:ind w:left="367" w:firstLine="0"/>
      </w:pPr>
      <w:proofErr w:type="spellStart"/>
      <w:r>
        <w:rPr>
          <w:sz w:val="17"/>
        </w:rPr>
        <w:t>lina</w:t>
      </w:r>
      <w:proofErr w:type="spellEnd"/>
      <w:r>
        <w:rPr>
          <w:sz w:val="17"/>
        </w:rPr>
        <w:t xml:space="preserve"> Evidence-based Practice Center for the Agency for Healthcare Research and Quality, Rockville, MD, 2002, p. 217.</w:t>
      </w:r>
    </w:p>
    <w:p w14:paraId="0C3A3C68" w14:textId="77777777" w:rsidR="0026097E" w:rsidRDefault="00284695">
      <w:pPr>
        <w:numPr>
          <w:ilvl w:val="0"/>
          <w:numId w:val="12"/>
        </w:numPr>
        <w:spacing w:after="13" w:line="257" w:lineRule="auto"/>
        <w:ind w:hanging="452"/>
      </w:pPr>
      <w:proofErr w:type="spellStart"/>
      <w:r>
        <w:rPr>
          <w:sz w:val="17"/>
        </w:rPr>
        <w:t>Katrak</w:t>
      </w:r>
      <w:proofErr w:type="spellEnd"/>
      <w:r>
        <w:rPr>
          <w:sz w:val="17"/>
        </w:rPr>
        <w:t xml:space="preserve">, P., et al., “A systematic review of the content of critical appraisal tools,” </w:t>
      </w:r>
      <w:r>
        <w:rPr>
          <w:i/>
          <w:sz w:val="17"/>
        </w:rPr>
        <w:t>BMC Medical Research Methodology</w:t>
      </w:r>
      <w:r>
        <w:rPr>
          <w:sz w:val="17"/>
        </w:rPr>
        <w:t>, Vol 4, 2004, p. 22.</w:t>
      </w:r>
    </w:p>
    <w:p w14:paraId="312C1CD3" w14:textId="77777777" w:rsidR="0026097E" w:rsidRDefault="00284695">
      <w:pPr>
        <w:numPr>
          <w:ilvl w:val="0"/>
          <w:numId w:val="12"/>
        </w:numPr>
        <w:spacing w:after="13" w:line="257" w:lineRule="auto"/>
        <w:ind w:hanging="452"/>
      </w:pPr>
      <w:r>
        <w:rPr>
          <w:sz w:val="17"/>
        </w:rPr>
        <w:t xml:space="preserve">Quigley, J. M., et al., “Critical appraisal of nonrandomized studies-A review of recommended and commonly used tools,” J Eval Clin </w:t>
      </w:r>
      <w:proofErr w:type="spellStart"/>
      <w:r>
        <w:rPr>
          <w:sz w:val="17"/>
        </w:rPr>
        <w:t>Pract</w:t>
      </w:r>
      <w:proofErr w:type="spellEnd"/>
      <w:r>
        <w:rPr>
          <w:sz w:val="17"/>
        </w:rPr>
        <w:t>, Vol 25, No. 1, 2019, pp. 44-52.</w:t>
      </w:r>
    </w:p>
    <w:p w14:paraId="045AA997" w14:textId="77777777" w:rsidR="0026097E" w:rsidRDefault="00284695">
      <w:pPr>
        <w:numPr>
          <w:ilvl w:val="0"/>
          <w:numId w:val="12"/>
        </w:numPr>
        <w:spacing w:after="13" w:line="259" w:lineRule="auto"/>
        <w:ind w:hanging="452"/>
      </w:pPr>
      <w:r>
        <w:rPr>
          <w:sz w:val="17"/>
        </w:rPr>
        <w:t xml:space="preserve">Sargent, E. V., et al., “Guidance on the establishment of acceptable daily exposure limits (ADE) to support Risk-Based Manufacture of Pharmaceutical Products,”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65, No. 2, 2013, pp. 242-250.</w:t>
      </w:r>
    </w:p>
    <w:p w14:paraId="2528BEA7" w14:textId="77777777" w:rsidR="0026097E" w:rsidRDefault="00284695">
      <w:pPr>
        <w:numPr>
          <w:ilvl w:val="0"/>
          <w:numId w:val="12"/>
        </w:numPr>
        <w:spacing w:after="13" w:line="257" w:lineRule="auto"/>
        <w:ind w:hanging="452"/>
      </w:pPr>
      <w:r>
        <w:rPr>
          <w:sz w:val="17"/>
        </w:rPr>
        <w:t xml:space="preserve">Naumann, B. D. and Sargent, E. V., “Setting occupational exposure limits for pharmaceuticals,” </w:t>
      </w:r>
      <w:proofErr w:type="spellStart"/>
      <w:r>
        <w:rPr>
          <w:sz w:val="17"/>
        </w:rPr>
        <w:t>Occup</w:t>
      </w:r>
      <w:proofErr w:type="spellEnd"/>
      <w:r>
        <w:rPr>
          <w:sz w:val="17"/>
        </w:rPr>
        <w:t xml:space="preserve"> Med, Vol 12, No. 1, 1997, pp. 67-80.</w:t>
      </w:r>
    </w:p>
    <w:p w14:paraId="2726DA5F" w14:textId="77777777" w:rsidR="0026097E" w:rsidRDefault="00284695">
      <w:pPr>
        <w:numPr>
          <w:ilvl w:val="0"/>
          <w:numId w:val="12"/>
        </w:numPr>
        <w:spacing w:after="13" w:line="257" w:lineRule="auto"/>
        <w:ind w:hanging="452"/>
      </w:pPr>
      <w:r>
        <w:rPr>
          <w:sz w:val="17"/>
        </w:rPr>
        <w:t>Baseline Pharmaceutical Engineering Guide: Risk-Based Manufacture of Pharmaceutical Products: A Guide to Managing Risks Associated with Cross-Contamination, first ed., Vol 7, ISPE, Tampa, FL, 2010, 186 pp.</w:t>
      </w:r>
    </w:p>
    <w:p w14:paraId="18942FDA" w14:textId="77777777" w:rsidR="0026097E" w:rsidRDefault="00284695">
      <w:pPr>
        <w:numPr>
          <w:ilvl w:val="0"/>
          <w:numId w:val="12"/>
        </w:numPr>
        <w:spacing w:after="13" w:line="257" w:lineRule="auto"/>
        <w:ind w:hanging="452"/>
      </w:pPr>
      <w:proofErr w:type="spellStart"/>
      <w:r>
        <w:rPr>
          <w:sz w:val="17"/>
        </w:rPr>
        <w:t>Dourson</w:t>
      </w:r>
      <w:proofErr w:type="spellEnd"/>
      <w:r>
        <w:rPr>
          <w:sz w:val="17"/>
        </w:rPr>
        <w:t xml:space="preserve">, M., et al., “Advancing human health risk assessment: integrating recent advisory committee recommendations,” </w:t>
      </w:r>
      <w:proofErr w:type="spellStart"/>
      <w:r>
        <w:rPr>
          <w:sz w:val="17"/>
        </w:rPr>
        <w:t>Crit</w:t>
      </w:r>
      <w:proofErr w:type="spellEnd"/>
      <w:r>
        <w:rPr>
          <w:sz w:val="17"/>
        </w:rPr>
        <w:t xml:space="preserve"> Rev </w:t>
      </w:r>
      <w:proofErr w:type="spellStart"/>
      <w:r>
        <w:rPr>
          <w:sz w:val="17"/>
        </w:rPr>
        <w:t>Toxicol</w:t>
      </w:r>
      <w:proofErr w:type="spellEnd"/>
      <w:r>
        <w:rPr>
          <w:sz w:val="17"/>
        </w:rPr>
        <w:t>, Vol 43, No. 6, 2013, pp. 467-492.</w:t>
      </w:r>
    </w:p>
    <w:p w14:paraId="07FC80A9" w14:textId="77777777" w:rsidR="0026097E" w:rsidRDefault="00284695">
      <w:pPr>
        <w:numPr>
          <w:ilvl w:val="0"/>
          <w:numId w:val="12"/>
        </w:numPr>
        <w:spacing w:after="13" w:line="257" w:lineRule="auto"/>
        <w:ind w:hanging="452"/>
      </w:pPr>
      <w:r>
        <w:rPr>
          <w:sz w:val="17"/>
        </w:rPr>
        <w:t xml:space="preserve">Keller, D. A., et al., “Identification and characterization of adverse effects in 21st century toxicology,” </w:t>
      </w:r>
      <w:proofErr w:type="spellStart"/>
      <w:r>
        <w:rPr>
          <w:sz w:val="17"/>
        </w:rPr>
        <w:t>Toxicol</w:t>
      </w:r>
      <w:proofErr w:type="spellEnd"/>
      <w:r>
        <w:rPr>
          <w:sz w:val="17"/>
        </w:rPr>
        <w:t xml:space="preserve"> Sci, Vol 126, No. 2, 2012, pp. 291-297.</w:t>
      </w:r>
    </w:p>
    <w:p w14:paraId="7CE08B4A" w14:textId="77777777" w:rsidR="0026097E" w:rsidRDefault="00284695">
      <w:pPr>
        <w:numPr>
          <w:ilvl w:val="0"/>
          <w:numId w:val="12"/>
        </w:numPr>
        <w:spacing w:after="13" w:line="257" w:lineRule="auto"/>
        <w:ind w:hanging="452"/>
      </w:pPr>
      <w:r>
        <w:rPr>
          <w:sz w:val="17"/>
        </w:rPr>
        <w:t>A Review of the Reference Dose and Reference Concentration Processes, Risk Assessment Forum, U.S. Environmental Protection Agency, Washington, DC, 2002, p. 192.</w:t>
      </w:r>
    </w:p>
    <w:p w14:paraId="4D4C830E" w14:textId="77777777" w:rsidR="0026097E" w:rsidRDefault="00284695">
      <w:pPr>
        <w:numPr>
          <w:ilvl w:val="0"/>
          <w:numId w:val="12"/>
        </w:numPr>
        <w:spacing w:after="13" w:line="257" w:lineRule="auto"/>
        <w:ind w:hanging="452"/>
      </w:pPr>
      <w:r>
        <w:rPr>
          <w:sz w:val="17"/>
        </w:rPr>
        <w:t xml:space="preserve">Crump, K. S., “A new method for determining allowable daily intakes,” </w:t>
      </w:r>
      <w:proofErr w:type="spellStart"/>
      <w:r>
        <w:rPr>
          <w:sz w:val="17"/>
        </w:rPr>
        <w:t>Fundam</w:t>
      </w:r>
      <w:proofErr w:type="spellEnd"/>
      <w:r>
        <w:rPr>
          <w:sz w:val="17"/>
        </w:rPr>
        <w:t xml:space="preserve"> Appl </w:t>
      </w:r>
      <w:proofErr w:type="spellStart"/>
      <w:r>
        <w:rPr>
          <w:sz w:val="17"/>
        </w:rPr>
        <w:t>Toxicol</w:t>
      </w:r>
      <w:proofErr w:type="spellEnd"/>
      <w:r>
        <w:rPr>
          <w:sz w:val="17"/>
        </w:rPr>
        <w:t>, Vol 4, No. 5, 1984, pp. 854-871.</w:t>
      </w:r>
    </w:p>
    <w:p w14:paraId="0B4C7C97" w14:textId="77777777" w:rsidR="0026097E" w:rsidRDefault="00284695">
      <w:pPr>
        <w:numPr>
          <w:ilvl w:val="0"/>
          <w:numId w:val="12"/>
        </w:numPr>
        <w:spacing w:after="13" w:line="257" w:lineRule="auto"/>
        <w:ind w:hanging="452"/>
      </w:pPr>
      <w:proofErr w:type="spellStart"/>
      <w:r>
        <w:rPr>
          <w:sz w:val="17"/>
        </w:rPr>
        <w:t>Bokkers</w:t>
      </w:r>
      <w:proofErr w:type="spellEnd"/>
      <w:r>
        <w:rPr>
          <w:sz w:val="17"/>
        </w:rPr>
        <w:t xml:space="preserve">, B. G. and Slob, W., “Deriving a data-based interspecies assessment factor using the NOAEL and the benchmark dose approach,” </w:t>
      </w:r>
      <w:proofErr w:type="spellStart"/>
      <w:r>
        <w:rPr>
          <w:sz w:val="17"/>
        </w:rPr>
        <w:t>Crit</w:t>
      </w:r>
      <w:proofErr w:type="spellEnd"/>
      <w:r>
        <w:rPr>
          <w:sz w:val="17"/>
        </w:rPr>
        <w:t xml:space="preserve"> Rev </w:t>
      </w:r>
      <w:proofErr w:type="spellStart"/>
      <w:r>
        <w:rPr>
          <w:sz w:val="17"/>
        </w:rPr>
        <w:t>Toxicol</w:t>
      </w:r>
      <w:proofErr w:type="spellEnd"/>
      <w:r>
        <w:rPr>
          <w:sz w:val="17"/>
        </w:rPr>
        <w:t>, Vol 37, No. 5, 2007, pp. 355-373.</w:t>
      </w:r>
    </w:p>
    <w:p w14:paraId="105471CB" w14:textId="77777777" w:rsidR="0026097E" w:rsidRDefault="00284695">
      <w:pPr>
        <w:numPr>
          <w:ilvl w:val="0"/>
          <w:numId w:val="12"/>
        </w:numPr>
        <w:spacing w:after="13" w:line="257" w:lineRule="auto"/>
        <w:ind w:hanging="452"/>
      </w:pPr>
      <w:r>
        <w:rPr>
          <w:sz w:val="17"/>
        </w:rPr>
        <w:t xml:space="preserve">Davis, J. A., Gift, J. S., and Zhao, Q. J., “Introduction to benchmark dose methods and U.S. EPA’s benchmark dose software (BMDS) version 2.1.1,” </w:t>
      </w:r>
      <w:proofErr w:type="spellStart"/>
      <w:r>
        <w:rPr>
          <w:sz w:val="17"/>
        </w:rPr>
        <w:t>Toxicol</w:t>
      </w:r>
      <w:proofErr w:type="spellEnd"/>
      <w:r>
        <w:rPr>
          <w:sz w:val="17"/>
        </w:rPr>
        <w:t xml:space="preserve"> Appl </w:t>
      </w:r>
      <w:proofErr w:type="spellStart"/>
      <w:r>
        <w:rPr>
          <w:sz w:val="17"/>
        </w:rPr>
        <w:t>Pharmacol</w:t>
      </w:r>
      <w:proofErr w:type="spellEnd"/>
      <w:r>
        <w:rPr>
          <w:sz w:val="17"/>
        </w:rPr>
        <w:t>, Vol 254, No. 2, 2011, pp. 181-191.</w:t>
      </w:r>
    </w:p>
    <w:p w14:paraId="129E306C" w14:textId="77777777" w:rsidR="0026097E" w:rsidRDefault="00284695">
      <w:pPr>
        <w:numPr>
          <w:ilvl w:val="0"/>
          <w:numId w:val="12"/>
        </w:numPr>
        <w:spacing w:after="13" w:line="257" w:lineRule="auto"/>
        <w:ind w:hanging="452"/>
      </w:pPr>
      <w:r>
        <w:rPr>
          <w:sz w:val="17"/>
        </w:rPr>
        <w:t xml:space="preserve">Sand, S., </w:t>
      </w:r>
      <w:proofErr w:type="spellStart"/>
      <w:r>
        <w:rPr>
          <w:sz w:val="17"/>
        </w:rPr>
        <w:t>Victorin</w:t>
      </w:r>
      <w:proofErr w:type="spellEnd"/>
      <w:r>
        <w:rPr>
          <w:sz w:val="17"/>
        </w:rPr>
        <w:t xml:space="preserve">, K., and </w:t>
      </w:r>
      <w:proofErr w:type="spellStart"/>
      <w:r>
        <w:rPr>
          <w:sz w:val="17"/>
        </w:rPr>
        <w:t>Filipsson</w:t>
      </w:r>
      <w:proofErr w:type="spellEnd"/>
      <w:r>
        <w:rPr>
          <w:sz w:val="17"/>
        </w:rPr>
        <w:t xml:space="preserve">, A. F., “The current state of knowledge on the use of the benchmark dose concept in risk assessment,” J Appl </w:t>
      </w:r>
      <w:proofErr w:type="spellStart"/>
      <w:r>
        <w:rPr>
          <w:sz w:val="17"/>
        </w:rPr>
        <w:t>Toxicol</w:t>
      </w:r>
      <w:proofErr w:type="spellEnd"/>
      <w:r>
        <w:rPr>
          <w:sz w:val="17"/>
        </w:rPr>
        <w:t>, Vol 28, No. 4, 2008, pp. 405-421.</w:t>
      </w:r>
    </w:p>
    <w:p w14:paraId="59B45123" w14:textId="77777777" w:rsidR="0026097E" w:rsidRDefault="00284695">
      <w:pPr>
        <w:numPr>
          <w:ilvl w:val="0"/>
          <w:numId w:val="12"/>
        </w:numPr>
        <w:spacing w:after="13" w:line="257" w:lineRule="auto"/>
        <w:ind w:hanging="452"/>
      </w:pPr>
      <w:r>
        <w:rPr>
          <w:sz w:val="17"/>
        </w:rPr>
        <w:t>“Guidance of the Scientific Committee on a request from EFSA on the use of the benchmark dose approach in risk assessment,” EFSA J, Vol 1150, 2009, pp. 1-72.</w:t>
      </w:r>
    </w:p>
    <w:p w14:paraId="75998480" w14:textId="77777777" w:rsidR="0026097E" w:rsidRDefault="00284695">
      <w:pPr>
        <w:numPr>
          <w:ilvl w:val="0"/>
          <w:numId w:val="12"/>
        </w:numPr>
        <w:spacing w:after="13" w:line="257" w:lineRule="auto"/>
        <w:ind w:hanging="452"/>
      </w:pPr>
      <w:proofErr w:type="spellStart"/>
      <w:r>
        <w:rPr>
          <w:sz w:val="17"/>
        </w:rPr>
        <w:t>Filipsson</w:t>
      </w:r>
      <w:proofErr w:type="spellEnd"/>
      <w:r>
        <w:rPr>
          <w:sz w:val="17"/>
        </w:rPr>
        <w:t xml:space="preserve">, A. F., et al., “The benchmark dose method—review of available models, and recommendations for application in health risk assessment,” </w:t>
      </w:r>
      <w:proofErr w:type="spellStart"/>
      <w:r>
        <w:rPr>
          <w:sz w:val="17"/>
        </w:rPr>
        <w:t>Crit</w:t>
      </w:r>
      <w:proofErr w:type="spellEnd"/>
      <w:r>
        <w:rPr>
          <w:sz w:val="17"/>
        </w:rPr>
        <w:t xml:space="preserve"> Rev </w:t>
      </w:r>
      <w:proofErr w:type="spellStart"/>
      <w:r>
        <w:rPr>
          <w:sz w:val="17"/>
        </w:rPr>
        <w:t>Toxicol</w:t>
      </w:r>
      <w:proofErr w:type="spellEnd"/>
      <w:r>
        <w:rPr>
          <w:sz w:val="17"/>
        </w:rPr>
        <w:t>, Vol 33, No. 5, 2003, pp. 505-542.</w:t>
      </w:r>
    </w:p>
    <w:p w14:paraId="1D7D2C12" w14:textId="77777777" w:rsidR="0026097E" w:rsidRDefault="00284695">
      <w:pPr>
        <w:numPr>
          <w:ilvl w:val="0"/>
          <w:numId w:val="12"/>
        </w:numPr>
        <w:spacing w:after="13" w:line="257" w:lineRule="auto"/>
        <w:ind w:hanging="452"/>
      </w:pPr>
      <w:r>
        <w:rPr>
          <w:sz w:val="17"/>
        </w:rPr>
        <w:t xml:space="preserve">Haber, L. T., et al., “Benchmark dose (BMD) modeling: current practice, issues, and challenges,” </w:t>
      </w:r>
      <w:proofErr w:type="spellStart"/>
      <w:r>
        <w:rPr>
          <w:sz w:val="17"/>
        </w:rPr>
        <w:t>Crit</w:t>
      </w:r>
      <w:proofErr w:type="spellEnd"/>
      <w:r>
        <w:rPr>
          <w:sz w:val="17"/>
        </w:rPr>
        <w:t xml:space="preserve"> Rev </w:t>
      </w:r>
      <w:proofErr w:type="spellStart"/>
      <w:r>
        <w:rPr>
          <w:sz w:val="17"/>
        </w:rPr>
        <w:t>Toxicol</w:t>
      </w:r>
      <w:proofErr w:type="spellEnd"/>
      <w:r>
        <w:rPr>
          <w:sz w:val="17"/>
        </w:rPr>
        <w:t>, Vol 48, No. 5, 2018, pp. 387-415.</w:t>
      </w:r>
    </w:p>
    <w:p w14:paraId="661074E5" w14:textId="77777777" w:rsidR="0026097E" w:rsidRDefault="00284695">
      <w:pPr>
        <w:numPr>
          <w:ilvl w:val="0"/>
          <w:numId w:val="12"/>
        </w:numPr>
        <w:spacing w:after="13" w:line="257" w:lineRule="auto"/>
        <w:ind w:hanging="452"/>
      </w:pPr>
      <w:r>
        <w:rPr>
          <w:sz w:val="17"/>
        </w:rPr>
        <w:t xml:space="preserve">Crump, K. S., “An improved procedure for low-dose carcinogenic risk assessment from animal data,” J Environ </w:t>
      </w:r>
      <w:proofErr w:type="spellStart"/>
      <w:r>
        <w:rPr>
          <w:sz w:val="17"/>
        </w:rPr>
        <w:t>Pathol</w:t>
      </w:r>
      <w:proofErr w:type="spellEnd"/>
      <w:r>
        <w:rPr>
          <w:sz w:val="17"/>
        </w:rPr>
        <w:t xml:space="preserve"> </w:t>
      </w:r>
      <w:proofErr w:type="spellStart"/>
      <w:r>
        <w:rPr>
          <w:sz w:val="17"/>
        </w:rPr>
        <w:t>Toxicol</w:t>
      </w:r>
      <w:proofErr w:type="spellEnd"/>
      <w:r>
        <w:rPr>
          <w:sz w:val="17"/>
        </w:rPr>
        <w:t xml:space="preserve"> Oncol, Vol 5, Nos. 4-5, 1984, pp. 339-348.</w:t>
      </w:r>
    </w:p>
    <w:p w14:paraId="20616489" w14:textId="77777777" w:rsidR="0026097E" w:rsidRDefault="00284695">
      <w:pPr>
        <w:numPr>
          <w:ilvl w:val="0"/>
          <w:numId w:val="12"/>
        </w:numPr>
        <w:spacing w:after="13" w:line="257" w:lineRule="auto"/>
        <w:ind w:hanging="452"/>
      </w:pPr>
      <w:r>
        <w:rPr>
          <w:sz w:val="17"/>
        </w:rPr>
        <w:t xml:space="preserve">Reichard, J. F., et al., “Toxicokinetic and toxicodynamic considerations when deriving health-based exposure limits for pharmaceuticals,”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79, Suppl 1, 2016, pp. S67-S78.</w:t>
      </w:r>
    </w:p>
    <w:p w14:paraId="535AB276" w14:textId="77777777" w:rsidR="0026097E" w:rsidRDefault="00284695">
      <w:pPr>
        <w:numPr>
          <w:ilvl w:val="0"/>
          <w:numId w:val="12"/>
        </w:numPr>
        <w:spacing w:after="13" w:line="257" w:lineRule="auto"/>
        <w:ind w:hanging="452"/>
      </w:pPr>
      <w:r>
        <w:rPr>
          <w:sz w:val="17"/>
        </w:rPr>
        <w:t xml:space="preserve">Olson, M. J., et al., “Issues and approaches for ensuring effective communication on acceptable daily exposure (ADE) values applied to pharmaceutical cleaning,”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79, Suppl 1, 2016, pp. S19-S27.</w:t>
      </w:r>
    </w:p>
    <w:p w14:paraId="597D38C6" w14:textId="77777777" w:rsidR="0026097E" w:rsidRDefault="00284695">
      <w:pPr>
        <w:numPr>
          <w:ilvl w:val="0"/>
          <w:numId w:val="12"/>
        </w:numPr>
        <w:spacing w:after="13" w:line="257" w:lineRule="auto"/>
        <w:ind w:hanging="452"/>
      </w:pPr>
      <w:r>
        <w:rPr>
          <w:sz w:val="17"/>
        </w:rPr>
        <w:t>Guideline on Setting Health Based Exposure Limits for Use in Risk Identification in the Manufacture of Different Medicinal Products in Shared Facilities, Pharmaceutical Inspection Convention, Pharmaceutical Inspection Co-Operation Scheme, Geneva, Switzerland, 2018.</w:t>
      </w:r>
    </w:p>
    <w:p w14:paraId="33F7F0F4" w14:textId="77777777" w:rsidR="0026097E" w:rsidRDefault="00284695">
      <w:pPr>
        <w:numPr>
          <w:ilvl w:val="0"/>
          <w:numId w:val="12"/>
        </w:numPr>
        <w:spacing w:after="13" w:line="257" w:lineRule="auto"/>
        <w:ind w:hanging="452"/>
      </w:pPr>
      <w:r>
        <w:rPr>
          <w:sz w:val="17"/>
        </w:rPr>
        <w:t>EFSA Scientific Committee, “Guidance on selected default values to be used by the EFSA Scientific Committee, Scientific Panels and Units in the absence of actual measured data,” EFSA J, Vol 10, No. 3, 2012.</w:t>
      </w:r>
    </w:p>
    <w:p w14:paraId="49E37F21" w14:textId="77777777" w:rsidR="0026097E" w:rsidRDefault="00284695">
      <w:pPr>
        <w:numPr>
          <w:ilvl w:val="0"/>
          <w:numId w:val="12"/>
        </w:numPr>
        <w:spacing w:after="13" w:line="257" w:lineRule="auto"/>
        <w:ind w:hanging="452"/>
      </w:pPr>
      <w:r>
        <w:rPr>
          <w:sz w:val="17"/>
        </w:rPr>
        <w:t>Phillips, L. J. and Moya, J., “Exposure factors resources: contrasting EPA’s Exposure Factors Handbook with international sources,” J Expo Sci Environ Epidemiol, Vol 24, No. 3, 2014, pp. 233-243.</w:t>
      </w:r>
    </w:p>
    <w:p w14:paraId="3791018F" w14:textId="77777777" w:rsidR="0026097E" w:rsidRDefault="00284695">
      <w:pPr>
        <w:numPr>
          <w:ilvl w:val="0"/>
          <w:numId w:val="12"/>
        </w:numPr>
        <w:spacing w:after="13" w:line="257" w:lineRule="auto"/>
        <w:ind w:hanging="452"/>
      </w:pPr>
      <w:r>
        <w:rPr>
          <w:sz w:val="17"/>
        </w:rPr>
        <w:t>Child-Specific Exposure Factors Handbook, National Center for Environmental Assessment, Office of Research and Development, Washington, DC, 2008.</w:t>
      </w:r>
    </w:p>
    <w:p w14:paraId="50F5AC5B" w14:textId="77777777" w:rsidR="0026097E" w:rsidRDefault="00284695">
      <w:pPr>
        <w:numPr>
          <w:ilvl w:val="0"/>
          <w:numId w:val="12"/>
        </w:numPr>
        <w:spacing w:after="13" w:line="257" w:lineRule="auto"/>
        <w:ind w:hanging="452"/>
      </w:pPr>
      <w:r>
        <w:rPr>
          <w:sz w:val="17"/>
        </w:rPr>
        <w:t>Exposure Factors Handbook: 2011 Edition, National Center for Environmental Assessment, Office of Research and Development, U.S. Environmental Protection Agency, Washington, DC, 2011.</w:t>
      </w:r>
    </w:p>
    <w:p w14:paraId="7BE1FDFD" w14:textId="77777777" w:rsidR="0026097E" w:rsidRDefault="00284695">
      <w:pPr>
        <w:numPr>
          <w:ilvl w:val="0"/>
          <w:numId w:val="12"/>
        </w:numPr>
        <w:spacing w:after="13" w:line="257" w:lineRule="auto"/>
        <w:ind w:hanging="452"/>
      </w:pPr>
      <w:r>
        <w:rPr>
          <w:sz w:val="17"/>
        </w:rPr>
        <w:t>Questions and answers on implementation of risk based prevention of cross contamination in production and ’Guideline on setting health based exposure limits for use in risk identification in the manufacture of different medicinal products in shared facilities’, (draft 15 December 2016), EMA/CHMP/CVMP/SWP/169430/2012, European Medicines Agency, London, United Kingdom, 2016.</w:t>
      </w:r>
    </w:p>
    <w:p w14:paraId="27D9D86F" w14:textId="77777777" w:rsidR="0026097E" w:rsidRDefault="00284695">
      <w:pPr>
        <w:numPr>
          <w:ilvl w:val="0"/>
          <w:numId w:val="12"/>
        </w:numPr>
        <w:spacing w:after="13" w:line="257" w:lineRule="auto"/>
        <w:ind w:hanging="452"/>
      </w:pPr>
      <w:r>
        <w:rPr>
          <w:sz w:val="17"/>
        </w:rPr>
        <w:t>Guidance for Industry. Estimating the Maximum Safe Starting Dose in Initial Clinical Trials for Therapeutics in Adult Healthy Volunteers, U.S. Department of Health and Human Services, Food and Drug Administration, Center for Drug Evaluation and Research (CDER), Rockville, MD, July 2005, p. 30.</w:t>
      </w:r>
    </w:p>
    <w:p w14:paraId="6B50E82C" w14:textId="77777777" w:rsidR="0026097E" w:rsidRDefault="00284695">
      <w:pPr>
        <w:numPr>
          <w:ilvl w:val="0"/>
          <w:numId w:val="12"/>
        </w:numPr>
        <w:spacing w:after="13" w:line="257" w:lineRule="auto"/>
        <w:ind w:hanging="452"/>
      </w:pPr>
      <w:r>
        <w:rPr>
          <w:sz w:val="17"/>
        </w:rPr>
        <w:t xml:space="preserve">Saber, H., et al., “An FDA oncology analysis of CD3 bispecific constructs and first-in-human dose selection,”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90, 2017, pp. 144-152.</w:t>
      </w:r>
    </w:p>
    <w:p w14:paraId="19E7D5A0" w14:textId="77777777" w:rsidR="0026097E" w:rsidRDefault="00284695">
      <w:pPr>
        <w:numPr>
          <w:ilvl w:val="0"/>
          <w:numId w:val="12"/>
        </w:numPr>
        <w:spacing w:after="13" w:line="257" w:lineRule="auto"/>
        <w:ind w:hanging="452"/>
      </w:pPr>
      <w:r>
        <w:rPr>
          <w:sz w:val="17"/>
        </w:rPr>
        <w:t xml:space="preserve">Saber, H., et al., “An FDA oncology analysis of immune activating products and first-in-human dose selection,”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81, 2016, pp. 448-456.</w:t>
      </w:r>
    </w:p>
    <w:p w14:paraId="6DFB157E" w14:textId="77777777" w:rsidR="0026097E" w:rsidRDefault="00284695">
      <w:pPr>
        <w:numPr>
          <w:ilvl w:val="0"/>
          <w:numId w:val="12"/>
        </w:numPr>
        <w:spacing w:after="13" w:line="257" w:lineRule="auto"/>
        <w:ind w:hanging="452"/>
      </w:pPr>
      <w:r>
        <w:rPr>
          <w:sz w:val="17"/>
        </w:rPr>
        <w:t xml:space="preserve">Saber, H. and Leighton, J. K., “An FDA oncology analysis of antibody-drug conjugates,”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71, No. 3, 2015, pp. 444-452.</w:t>
      </w:r>
    </w:p>
    <w:p w14:paraId="54746FB8" w14:textId="77777777" w:rsidR="0026097E" w:rsidRDefault="00284695">
      <w:pPr>
        <w:numPr>
          <w:ilvl w:val="0"/>
          <w:numId w:val="12"/>
        </w:numPr>
        <w:spacing w:after="13" w:line="257" w:lineRule="auto"/>
        <w:ind w:hanging="452"/>
      </w:pPr>
      <w:r>
        <w:rPr>
          <w:sz w:val="17"/>
        </w:rPr>
        <w:lastRenderedPageBreak/>
        <w:t xml:space="preserve">Barnes, D. G. and </w:t>
      </w:r>
      <w:proofErr w:type="spellStart"/>
      <w:r>
        <w:rPr>
          <w:sz w:val="17"/>
        </w:rPr>
        <w:t>Dourson</w:t>
      </w:r>
      <w:proofErr w:type="spellEnd"/>
      <w:r>
        <w:rPr>
          <w:sz w:val="17"/>
        </w:rPr>
        <w:t>, M., “Reference Dose (</w:t>
      </w:r>
      <w:proofErr w:type="spellStart"/>
      <w:r>
        <w:rPr>
          <w:sz w:val="17"/>
        </w:rPr>
        <w:t>RfD</w:t>
      </w:r>
      <w:proofErr w:type="spellEnd"/>
      <w:r>
        <w:rPr>
          <w:sz w:val="17"/>
        </w:rPr>
        <w:t xml:space="preserve">): description and use in health risk assessments,”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8, No. 4, 1988, pp. 471-486.</w:t>
      </w:r>
    </w:p>
    <w:p w14:paraId="11EEC3E2" w14:textId="77777777" w:rsidR="0026097E" w:rsidRDefault="00284695">
      <w:pPr>
        <w:numPr>
          <w:ilvl w:val="0"/>
          <w:numId w:val="12"/>
        </w:numPr>
        <w:spacing w:after="13" w:line="257" w:lineRule="auto"/>
        <w:ind w:hanging="452"/>
      </w:pPr>
      <w:r>
        <w:rPr>
          <w:sz w:val="17"/>
        </w:rPr>
        <w:t xml:space="preserve">“Assessing Human Health Risks of Chemicals: Derivation of Guidance Values for Health-based Exposure Limits,” Environmental Health Criteria, Vol 170, 1994, International </w:t>
      </w:r>
      <w:proofErr w:type="spellStart"/>
      <w:r>
        <w:rPr>
          <w:sz w:val="17"/>
        </w:rPr>
        <w:t>Programme</w:t>
      </w:r>
      <w:proofErr w:type="spellEnd"/>
      <w:r>
        <w:rPr>
          <w:sz w:val="17"/>
        </w:rPr>
        <w:t xml:space="preserve"> on Chemical Safety, World Health Organization, Geneva, Switzerland.</w:t>
      </w:r>
    </w:p>
    <w:p w14:paraId="0FDD6702" w14:textId="77777777" w:rsidR="0026097E" w:rsidRDefault="00284695">
      <w:pPr>
        <w:numPr>
          <w:ilvl w:val="0"/>
          <w:numId w:val="12"/>
        </w:numPr>
        <w:spacing w:after="13" w:line="257" w:lineRule="auto"/>
        <w:ind w:hanging="452"/>
      </w:pPr>
      <w:r>
        <w:rPr>
          <w:sz w:val="17"/>
        </w:rPr>
        <w:t xml:space="preserve">Chemical-Specific Adjustment Factors for Interspecies Differences </w:t>
      </w:r>
      <w:proofErr w:type="gramStart"/>
      <w:r>
        <w:rPr>
          <w:sz w:val="17"/>
        </w:rPr>
        <w:t>And</w:t>
      </w:r>
      <w:proofErr w:type="gramEnd"/>
      <w:r>
        <w:rPr>
          <w:sz w:val="17"/>
        </w:rPr>
        <w:t xml:space="preserve"> Human Variability: Guidance Document for Use Of Data In Dose/Concentration–Response Assessment, International </w:t>
      </w:r>
      <w:proofErr w:type="spellStart"/>
      <w:r>
        <w:rPr>
          <w:sz w:val="17"/>
        </w:rPr>
        <w:t>Programme</w:t>
      </w:r>
      <w:proofErr w:type="spellEnd"/>
      <w:r>
        <w:rPr>
          <w:sz w:val="17"/>
        </w:rPr>
        <w:t xml:space="preserve"> on Chemical Safety, World Health Organization, the International </w:t>
      </w:r>
      <w:proofErr w:type="spellStart"/>
      <w:r>
        <w:rPr>
          <w:sz w:val="17"/>
        </w:rPr>
        <w:t>Labour</w:t>
      </w:r>
      <w:proofErr w:type="spellEnd"/>
      <w:r>
        <w:rPr>
          <w:sz w:val="17"/>
        </w:rPr>
        <w:t xml:space="preserve"> Organization and the United Nations Environment Program, Geneva, 2005.</w:t>
      </w:r>
    </w:p>
    <w:p w14:paraId="3BC56A27" w14:textId="77777777" w:rsidR="0026097E" w:rsidRDefault="00284695">
      <w:pPr>
        <w:numPr>
          <w:ilvl w:val="0"/>
          <w:numId w:val="12"/>
        </w:numPr>
        <w:spacing w:after="13" w:line="257" w:lineRule="auto"/>
        <w:ind w:hanging="452"/>
      </w:pPr>
      <w:r>
        <w:rPr>
          <w:sz w:val="17"/>
        </w:rPr>
        <w:t xml:space="preserve">Naumann, B. D., et al., “Investigations of the use of bioavailability data to adjust occupational exposure limits for active pharmaceutical ingredients,” </w:t>
      </w:r>
      <w:proofErr w:type="spellStart"/>
      <w:r>
        <w:rPr>
          <w:sz w:val="17"/>
        </w:rPr>
        <w:t>Toxicol</w:t>
      </w:r>
      <w:proofErr w:type="spellEnd"/>
      <w:r>
        <w:rPr>
          <w:sz w:val="17"/>
        </w:rPr>
        <w:t xml:space="preserve"> Sci, Vol 112, No. 1, 2009, pp. 196-210.</w:t>
      </w:r>
    </w:p>
    <w:p w14:paraId="1F863D60" w14:textId="77777777" w:rsidR="0026097E" w:rsidRDefault="00284695">
      <w:pPr>
        <w:numPr>
          <w:ilvl w:val="0"/>
          <w:numId w:val="12"/>
        </w:numPr>
        <w:spacing w:after="13" w:line="257" w:lineRule="auto"/>
        <w:ind w:hanging="452"/>
      </w:pPr>
      <w:r>
        <w:rPr>
          <w:sz w:val="17"/>
        </w:rPr>
        <w:t>Lobo, E. D., Hansen, R. J., and Balthasar, J. P., “Antibody pharmacokinetics and pharmacodynamics,” J Pharm Sci, Vol 93, No. 11, 2004, pp. 2645-2668.</w:t>
      </w:r>
    </w:p>
    <w:p w14:paraId="7BED523B" w14:textId="77777777" w:rsidR="0026097E" w:rsidRDefault="00284695">
      <w:pPr>
        <w:numPr>
          <w:ilvl w:val="0"/>
          <w:numId w:val="12"/>
        </w:numPr>
        <w:spacing w:after="13" w:line="259" w:lineRule="auto"/>
        <w:ind w:hanging="452"/>
      </w:pPr>
      <w:r>
        <w:rPr>
          <w:sz w:val="17"/>
        </w:rPr>
        <w:t xml:space="preserve">Bos, J. D. and </w:t>
      </w:r>
      <w:proofErr w:type="spellStart"/>
      <w:r>
        <w:rPr>
          <w:sz w:val="17"/>
        </w:rPr>
        <w:t>Meinardi</w:t>
      </w:r>
      <w:proofErr w:type="spellEnd"/>
      <w:r>
        <w:rPr>
          <w:sz w:val="17"/>
        </w:rPr>
        <w:t>, M. M., “The 500 Dalton rule for the skin penetration of chemical compounds and drugs,” Exp Dermatol, Vol 9, No. 3, 2000, pp. 165-169.</w:t>
      </w:r>
    </w:p>
    <w:p w14:paraId="5A7890C7" w14:textId="77777777" w:rsidR="0026097E" w:rsidRDefault="00284695">
      <w:pPr>
        <w:numPr>
          <w:ilvl w:val="0"/>
          <w:numId w:val="12"/>
        </w:numPr>
        <w:spacing w:after="13" w:line="257" w:lineRule="auto"/>
        <w:ind w:hanging="452"/>
      </w:pPr>
      <w:r>
        <w:rPr>
          <w:sz w:val="17"/>
        </w:rPr>
        <w:t xml:space="preserve">Smith Pease, C. K., White, I. R., and </w:t>
      </w:r>
      <w:proofErr w:type="spellStart"/>
      <w:r>
        <w:rPr>
          <w:sz w:val="17"/>
        </w:rPr>
        <w:t>Basketter</w:t>
      </w:r>
      <w:proofErr w:type="spellEnd"/>
      <w:r>
        <w:rPr>
          <w:sz w:val="17"/>
        </w:rPr>
        <w:t>, D. A., “Skin as a route of exposure to protein allergens,” Clinical and Experimental Dermatology, Vol 27, No. 4, 2002, pp. 296-300.</w:t>
      </w:r>
    </w:p>
    <w:p w14:paraId="5E56F922" w14:textId="77777777" w:rsidR="0026097E" w:rsidRDefault="00284695">
      <w:pPr>
        <w:numPr>
          <w:ilvl w:val="0"/>
          <w:numId w:val="12"/>
        </w:numPr>
        <w:spacing w:after="13" w:line="257" w:lineRule="auto"/>
        <w:ind w:hanging="452"/>
      </w:pPr>
      <w:r>
        <w:rPr>
          <w:sz w:val="17"/>
        </w:rPr>
        <w:t xml:space="preserve">Guidance on Information Requirements and Chemical Safety Assessment, Chapter R.8: </w:t>
      </w:r>
      <w:proofErr w:type="spellStart"/>
      <w:r>
        <w:rPr>
          <w:sz w:val="17"/>
        </w:rPr>
        <w:t>Characterisation</w:t>
      </w:r>
      <w:proofErr w:type="spellEnd"/>
      <w:r>
        <w:rPr>
          <w:sz w:val="17"/>
        </w:rPr>
        <w:t xml:space="preserve"> of dose [concentration]response for human health (version 2.1), European Chemicals Agency, Helsinki, Finland, 2012, p. 195.</w:t>
      </w:r>
    </w:p>
    <w:p w14:paraId="49A07B32" w14:textId="77777777" w:rsidR="0026097E" w:rsidRDefault="00284695">
      <w:pPr>
        <w:numPr>
          <w:ilvl w:val="0"/>
          <w:numId w:val="12"/>
        </w:numPr>
        <w:spacing w:after="13" w:line="257" w:lineRule="auto"/>
        <w:ind w:hanging="452"/>
      </w:pPr>
      <w:r>
        <w:rPr>
          <w:sz w:val="17"/>
        </w:rPr>
        <w:t>Recommended Use of Body Weight 3/4 as the Default Method in Derivation of the Oral Reference Dose, Office of the Science Advisor, Risk Assessment Forum, U.S. Environmental Protection Agency, Washington, DC, 2011.</w:t>
      </w:r>
    </w:p>
    <w:p w14:paraId="2CA311F2" w14:textId="77777777" w:rsidR="0026097E" w:rsidRDefault="00284695">
      <w:pPr>
        <w:numPr>
          <w:ilvl w:val="0"/>
          <w:numId w:val="12"/>
        </w:numPr>
        <w:spacing w:after="13" w:line="257" w:lineRule="auto"/>
        <w:ind w:hanging="452"/>
      </w:pPr>
      <w:proofErr w:type="spellStart"/>
      <w:r>
        <w:rPr>
          <w:sz w:val="17"/>
        </w:rPr>
        <w:t>Edginton</w:t>
      </w:r>
      <w:proofErr w:type="spellEnd"/>
      <w:r>
        <w:rPr>
          <w:sz w:val="17"/>
        </w:rPr>
        <w:t xml:space="preserve">, A. N., et al., “The integration of allometry and virtual populations to predict clearance and clearance variability in pediatric populations over the age of 6 years,” Clin </w:t>
      </w:r>
      <w:proofErr w:type="spellStart"/>
      <w:r>
        <w:rPr>
          <w:sz w:val="17"/>
        </w:rPr>
        <w:t>Pharmacokinet</w:t>
      </w:r>
      <w:proofErr w:type="spellEnd"/>
      <w:r>
        <w:rPr>
          <w:sz w:val="17"/>
        </w:rPr>
        <w:t>, Vol 52, No. 8, 2013, pp. 693-703.</w:t>
      </w:r>
    </w:p>
    <w:p w14:paraId="06F43028" w14:textId="77777777" w:rsidR="0026097E" w:rsidRDefault="00284695">
      <w:pPr>
        <w:numPr>
          <w:ilvl w:val="0"/>
          <w:numId w:val="12"/>
        </w:numPr>
        <w:spacing w:after="13" w:line="257" w:lineRule="auto"/>
        <w:ind w:hanging="452"/>
      </w:pPr>
      <w:r>
        <w:rPr>
          <w:sz w:val="17"/>
        </w:rPr>
        <w:t xml:space="preserve">Mahmood, I., “Prediction of Drug Clearance in Premature and Mature Neonates, Infants, and Children &lt;/=2 Years of Age: A Comparison of the Predictive Performance of 4 Allometric Models,” J Clin </w:t>
      </w:r>
      <w:proofErr w:type="spellStart"/>
      <w:r>
        <w:rPr>
          <w:sz w:val="17"/>
        </w:rPr>
        <w:t>Pharmacol</w:t>
      </w:r>
      <w:proofErr w:type="spellEnd"/>
      <w:r>
        <w:rPr>
          <w:sz w:val="17"/>
        </w:rPr>
        <w:t>, Vol 56, No. 6, 2016, pp. 733-739.</w:t>
      </w:r>
    </w:p>
    <w:p w14:paraId="60E82DB2" w14:textId="77777777" w:rsidR="0026097E" w:rsidRDefault="00284695">
      <w:pPr>
        <w:numPr>
          <w:ilvl w:val="0"/>
          <w:numId w:val="12"/>
        </w:numPr>
        <w:spacing w:after="13" w:line="257" w:lineRule="auto"/>
        <w:ind w:hanging="452"/>
      </w:pPr>
      <w:proofErr w:type="spellStart"/>
      <w:r>
        <w:rPr>
          <w:sz w:val="17"/>
        </w:rPr>
        <w:t>Momper</w:t>
      </w:r>
      <w:proofErr w:type="spellEnd"/>
      <w:r>
        <w:rPr>
          <w:sz w:val="17"/>
        </w:rPr>
        <w:t xml:space="preserve">, J. D., et al., “Adolescent dosing and labeling since the Food and Drug Administration Amendments Act of 2007,” JAMA </w:t>
      </w:r>
      <w:proofErr w:type="spellStart"/>
      <w:r>
        <w:rPr>
          <w:sz w:val="17"/>
        </w:rPr>
        <w:t>Pediatr</w:t>
      </w:r>
      <w:proofErr w:type="spellEnd"/>
      <w:r>
        <w:rPr>
          <w:sz w:val="17"/>
        </w:rPr>
        <w:t>, Vol 167, No. 10, 2013, pp. 926-932.</w:t>
      </w:r>
    </w:p>
    <w:p w14:paraId="462DE439" w14:textId="77777777" w:rsidR="0026097E" w:rsidRDefault="00284695">
      <w:pPr>
        <w:numPr>
          <w:ilvl w:val="0"/>
          <w:numId w:val="12"/>
        </w:numPr>
        <w:spacing w:after="13" w:line="257" w:lineRule="auto"/>
        <w:ind w:hanging="452"/>
      </w:pPr>
      <w:r>
        <w:rPr>
          <w:sz w:val="17"/>
        </w:rPr>
        <w:t xml:space="preserve">Ling, J., et al., “Interspecies scaling of therapeutic monoclonal antibodies: initial look,” J Clin </w:t>
      </w:r>
      <w:proofErr w:type="spellStart"/>
      <w:r>
        <w:rPr>
          <w:sz w:val="17"/>
        </w:rPr>
        <w:t>Pharmacol</w:t>
      </w:r>
      <w:proofErr w:type="spellEnd"/>
      <w:r>
        <w:rPr>
          <w:sz w:val="17"/>
        </w:rPr>
        <w:t>, Vol 49, No. 12, 2009, pp. 1382-1402.</w:t>
      </w:r>
    </w:p>
    <w:p w14:paraId="69994163" w14:textId="77777777" w:rsidR="0026097E" w:rsidRDefault="00284695">
      <w:pPr>
        <w:numPr>
          <w:ilvl w:val="0"/>
          <w:numId w:val="12"/>
        </w:numPr>
        <w:spacing w:after="13" w:line="257" w:lineRule="auto"/>
        <w:ind w:hanging="452"/>
      </w:pPr>
      <w:r>
        <w:rPr>
          <w:sz w:val="17"/>
        </w:rPr>
        <w:t>Mahmood, I., “Interspecies scaling of protein drugs: prediction of clearance from animals to humans,” J Pharm Sci, Vol 93, No. 1, 2004, pp. 177-185.</w:t>
      </w:r>
    </w:p>
    <w:p w14:paraId="376E5546" w14:textId="77777777" w:rsidR="0026097E" w:rsidRDefault="00284695">
      <w:pPr>
        <w:numPr>
          <w:ilvl w:val="0"/>
          <w:numId w:val="12"/>
        </w:numPr>
        <w:spacing w:after="13" w:line="257" w:lineRule="auto"/>
        <w:ind w:hanging="452"/>
      </w:pPr>
      <w:proofErr w:type="spellStart"/>
      <w:r>
        <w:rPr>
          <w:sz w:val="17"/>
        </w:rPr>
        <w:t>Offman</w:t>
      </w:r>
      <w:proofErr w:type="spellEnd"/>
      <w:r>
        <w:rPr>
          <w:sz w:val="17"/>
        </w:rPr>
        <w:t xml:space="preserve">, E. and </w:t>
      </w:r>
      <w:proofErr w:type="spellStart"/>
      <w:r>
        <w:rPr>
          <w:sz w:val="17"/>
        </w:rPr>
        <w:t>Edginton</w:t>
      </w:r>
      <w:proofErr w:type="spellEnd"/>
      <w:r>
        <w:rPr>
          <w:sz w:val="17"/>
        </w:rPr>
        <w:t xml:space="preserve">, A. N., “Contrasting toxicokinetic evaluations and interspecies pharmacokinetic scaling approaches for small molecules and biologics: applicability to biosimilar development,” </w:t>
      </w:r>
      <w:proofErr w:type="spellStart"/>
      <w:r>
        <w:rPr>
          <w:sz w:val="17"/>
        </w:rPr>
        <w:t>Xenobiotica</w:t>
      </w:r>
      <w:proofErr w:type="spellEnd"/>
      <w:r>
        <w:rPr>
          <w:sz w:val="17"/>
        </w:rPr>
        <w:t>, Vol 43, No. 6, 2013, pp. 561-569.</w:t>
      </w:r>
    </w:p>
    <w:p w14:paraId="1ECA1DE5" w14:textId="77777777" w:rsidR="0026097E" w:rsidRDefault="00284695">
      <w:pPr>
        <w:numPr>
          <w:ilvl w:val="0"/>
          <w:numId w:val="12"/>
        </w:numPr>
        <w:spacing w:after="13" w:line="257" w:lineRule="auto"/>
        <w:ind w:hanging="452"/>
      </w:pPr>
      <w:r>
        <w:rPr>
          <w:sz w:val="17"/>
        </w:rPr>
        <w:t xml:space="preserve">Lehman, A. J. and Fitzhugh, O. G., “100-fold margin of safety,” Assoc Food Drug </w:t>
      </w:r>
      <w:proofErr w:type="spellStart"/>
      <w:r>
        <w:rPr>
          <w:sz w:val="17"/>
        </w:rPr>
        <w:t>Offic</w:t>
      </w:r>
      <w:proofErr w:type="spellEnd"/>
      <w:r>
        <w:rPr>
          <w:sz w:val="17"/>
        </w:rPr>
        <w:t xml:space="preserve"> of United States, Vol 18, 1954, pp. 33-35.</w:t>
      </w:r>
    </w:p>
    <w:p w14:paraId="4AE9AE43" w14:textId="77777777" w:rsidR="0026097E" w:rsidRDefault="00284695">
      <w:pPr>
        <w:numPr>
          <w:ilvl w:val="0"/>
          <w:numId w:val="12"/>
        </w:numPr>
        <w:spacing w:after="13" w:line="257" w:lineRule="auto"/>
        <w:ind w:hanging="452"/>
      </w:pPr>
      <w:r>
        <w:rPr>
          <w:sz w:val="17"/>
        </w:rPr>
        <w:t xml:space="preserve">Renwick, A. G., “Safety factors and establishment of acceptable daily intakes,” Food </w:t>
      </w:r>
      <w:proofErr w:type="spellStart"/>
      <w:r>
        <w:rPr>
          <w:sz w:val="17"/>
        </w:rPr>
        <w:t>Addit</w:t>
      </w:r>
      <w:proofErr w:type="spellEnd"/>
      <w:r>
        <w:rPr>
          <w:sz w:val="17"/>
        </w:rPr>
        <w:t xml:space="preserve"> </w:t>
      </w:r>
      <w:proofErr w:type="spellStart"/>
      <w:r>
        <w:rPr>
          <w:sz w:val="17"/>
        </w:rPr>
        <w:t>Contam</w:t>
      </w:r>
      <w:proofErr w:type="spellEnd"/>
      <w:r>
        <w:rPr>
          <w:sz w:val="17"/>
        </w:rPr>
        <w:t>, Vol 8, No. 2, 1991, pp. 135-149.</w:t>
      </w:r>
    </w:p>
    <w:p w14:paraId="01CF128A" w14:textId="77777777" w:rsidR="0026097E" w:rsidRDefault="00284695">
      <w:pPr>
        <w:numPr>
          <w:ilvl w:val="0"/>
          <w:numId w:val="12"/>
        </w:numPr>
        <w:spacing w:after="13" w:line="257" w:lineRule="auto"/>
        <w:ind w:hanging="452"/>
      </w:pPr>
      <w:r>
        <w:rPr>
          <w:sz w:val="17"/>
        </w:rPr>
        <w:t xml:space="preserve">Renwick, A. G., “Data-derived safety factors for the evaluation of food additives and environmental contaminants,” Food </w:t>
      </w:r>
      <w:proofErr w:type="spellStart"/>
      <w:r>
        <w:rPr>
          <w:sz w:val="17"/>
        </w:rPr>
        <w:t>Addit</w:t>
      </w:r>
      <w:proofErr w:type="spellEnd"/>
      <w:r>
        <w:rPr>
          <w:sz w:val="17"/>
        </w:rPr>
        <w:t xml:space="preserve"> </w:t>
      </w:r>
      <w:proofErr w:type="spellStart"/>
      <w:r>
        <w:rPr>
          <w:sz w:val="17"/>
        </w:rPr>
        <w:t>Contam</w:t>
      </w:r>
      <w:proofErr w:type="spellEnd"/>
      <w:r>
        <w:rPr>
          <w:sz w:val="17"/>
        </w:rPr>
        <w:t>, Vol 10, No. 3, 1993, pp. 275-305.</w:t>
      </w:r>
    </w:p>
    <w:p w14:paraId="0006F594" w14:textId="77777777" w:rsidR="0026097E" w:rsidRDefault="00284695">
      <w:pPr>
        <w:numPr>
          <w:ilvl w:val="0"/>
          <w:numId w:val="12"/>
        </w:numPr>
        <w:spacing w:after="13" w:line="257" w:lineRule="auto"/>
        <w:ind w:hanging="452"/>
      </w:pPr>
      <w:r>
        <w:rPr>
          <w:sz w:val="17"/>
        </w:rPr>
        <w:t>Renwick, A. G., “</w:t>
      </w:r>
      <w:proofErr w:type="spellStart"/>
      <w:r>
        <w:rPr>
          <w:sz w:val="17"/>
        </w:rPr>
        <w:t>Toxicokinetics</w:t>
      </w:r>
      <w:proofErr w:type="spellEnd"/>
      <w:r>
        <w:rPr>
          <w:sz w:val="17"/>
        </w:rPr>
        <w:t xml:space="preserve"> in infants and children in relation to the ADI and TDI,” Food </w:t>
      </w:r>
      <w:proofErr w:type="spellStart"/>
      <w:r>
        <w:rPr>
          <w:sz w:val="17"/>
        </w:rPr>
        <w:t>Addit</w:t>
      </w:r>
      <w:proofErr w:type="spellEnd"/>
      <w:r>
        <w:rPr>
          <w:sz w:val="17"/>
        </w:rPr>
        <w:t xml:space="preserve"> </w:t>
      </w:r>
      <w:proofErr w:type="spellStart"/>
      <w:r>
        <w:rPr>
          <w:sz w:val="17"/>
        </w:rPr>
        <w:t>Contam</w:t>
      </w:r>
      <w:proofErr w:type="spellEnd"/>
      <w:r>
        <w:rPr>
          <w:sz w:val="17"/>
        </w:rPr>
        <w:t>, Vol 15, Suppl, 1998, pp.</w:t>
      </w:r>
    </w:p>
    <w:p w14:paraId="2607E026" w14:textId="77777777" w:rsidR="0026097E" w:rsidRDefault="00284695">
      <w:pPr>
        <w:spacing w:after="13" w:line="257" w:lineRule="auto"/>
        <w:ind w:left="367" w:firstLine="0"/>
      </w:pPr>
      <w:r>
        <w:rPr>
          <w:sz w:val="17"/>
        </w:rPr>
        <w:t>17-35.</w:t>
      </w:r>
    </w:p>
    <w:p w14:paraId="172ED0D1" w14:textId="77777777" w:rsidR="0026097E" w:rsidRDefault="00284695">
      <w:pPr>
        <w:numPr>
          <w:ilvl w:val="0"/>
          <w:numId w:val="12"/>
        </w:numPr>
        <w:spacing w:after="13" w:line="257" w:lineRule="auto"/>
        <w:ind w:hanging="452"/>
      </w:pPr>
      <w:r>
        <w:rPr>
          <w:sz w:val="17"/>
        </w:rPr>
        <w:t xml:space="preserve">Valcke, M. and Krishnan, K., “Assessing the impact of the duration and intensity of inhalation exposure on the magnitude of the variability of internal dose metrics in children and adults,” </w:t>
      </w:r>
      <w:proofErr w:type="spellStart"/>
      <w:r>
        <w:rPr>
          <w:sz w:val="17"/>
        </w:rPr>
        <w:t>Inhal</w:t>
      </w:r>
      <w:proofErr w:type="spellEnd"/>
      <w:r>
        <w:rPr>
          <w:sz w:val="17"/>
        </w:rPr>
        <w:t xml:space="preserve"> </w:t>
      </w:r>
      <w:proofErr w:type="spellStart"/>
      <w:r>
        <w:rPr>
          <w:sz w:val="17"/>
        </w:rPr>
        <w:t>Toxicol</w:t>
      </w:r>
      <w:proofErr w:type="spellEnd"/>
      <w:r>
        <w:rPr>
          <w:sz w:val="17"/>
        </w:rPr>
        <w:t>, Vol 23, No. 14, 2011, pp. 863-877.</w:t>
      </w:r>
    </w:p>
    <w:p w14:paraId="7A0DA193" w14:textId="77777777" w:rsidR="0026097E" w:rsidRDefault="00284695">
      <w:pPr>
        <w:numPr>
          <w:ilvl w:val="0"/>
          <w:numId w:val="12"/>
        </w:numPr>
        <w:spacing w:after="13" w:line="257" w:lineRule="auto"/>
        <w:ind w:hanging="452"/>
      </w:pPr>
      <w:r>
        <w:rPr>
          <w:sz w:val="17"/>
        </w:rPr>
        <w:t xml:space="preserve">Alcorn, J. and McNamara, P. J., “Ontogeny of hepatic and renal systemic clearance pathways in infants: part I,” Clin </w:t>
      </w:r>
      <w:proofErr w:type="spellStart"/>
      <w:r>
        <w:rPr>
          <w:sz w:val="17"/>
        </w:rPr>
        <w:t>Pharmacokinet</w:t>
      </w:r>
      <w:proofErr w:type="spellEnd"/>
      <w:r>
        <w:rPr>
          <w:sz w:val="17"/>
        </w:rPr>
        <w:t>, Vol 41, No. 12, 2002, pp. 959-998.</w:t>
      </w:r>
    </w:p>
    <w:p w14:paraId="77FC7D12" w14:textId="77777777" w:rsidR="0026097E" w:rsidRDefault="00284695">
      <w:pPr>
        <w:numPr>
          <w:ilvl w:val="0"/>
          <w:numId w:val="12"/>
        </w:numPr>
        <w:spacing w:after="13" w:line="257" w:lineRule="auto"/>
        <w:ind w:hanging="452"/>
      </w:pPr>
      <w:r>
        <w:rPr>
          <w:sz w:val="17"/>
        </w:rPr>
        <w:t xml:space="preserve">Alcorn, J. and McNamara, P. J., “Ontogeny of hepatic and renal systemic clearance pathways in infants: part II,” Clin </w:t>
      </w:r>
      <w:proofErr w:type="spellStart"/>
      <w:r>
        <w:rPr>
          <w:sz w:val="17"/>
        </w:rPr>
        <w:t>Pharmacokinet</w:t>
      </w:r>
      <w:proofErr w:type="spellEnd"/>
      <w:r>
        <w:rPr>
          <w:sz w:val="17"/>
        </w:rPr>
        <w:t>, Vol 41, No. 13, 2002, pp. 1077-1094.</w:t>
      </w:r>
    </w:p>
    <w:p w14:paraId="2C571D17" w14:textId="77777777" w:rsidR="0026097E" w:rsidRDefault="00284695">
      <w:pPr>
        <w:numPr>
          <w:ilvl w:val="0"/>
          <w:numId w:val="12"/>
        </w:numPr>
        <w:spacing w:after="13" w:line="257" w:lineRule="auto"/>
        <w:ind w:hanging="452"/>
      </w:pPr>
      <w:r>
        <w:rPr>
          <w:sz w:val="17"/>
        </w:rPr>
        <w:t xml:space="preserve">Ginsberg, G., et al., “A framework and case studies for evaluation of enzyme ontogeny in children’s health risk evaluation,” J </w:t>
      </w:r>
      <w:proofErr w:type="spellStart"/>
      <w:r>
        <w:rPr>
          <w:sz w:val="17"/>
        </w:rPr>
        <w:t>Toxicol</w:t>
      </w:r>
      <w:proofErr w:type="spellEnd"/>
      <w:r>
        <w:rPr>
          <w:sz w:val="17"/>
        </w:rPr>
        <w:t xml:space="preserve"> Environ Health A, Vol 80, Nos. 10-12, 2017, pp. 569-593.</w:t>
      </w:r>
    </w:p>
    <w:p w14:paraId="2503D772" w14:textId="77777777" w:rsidR="0026097E" w:rsidRDefault="00284695">
      <w:pPr>
        <w:numPr>
          <w:ilvl w:val="0"/>
          <w:numId w:val="12"/>
        </w:numPr>
        <w:spacing w:after="13" w:line="257" w:lineRule="auto"/>
        <w:ind w:hanging="452"/>
      </w:pPr>
      <w:proofErr w:type="spellStart"/>
      <w:r>
        <w:rPr>
          <w:sz w:val="17"/>
        </w:rPr>
        <w:t>Scheuplein</w:t>
      </w:r>
      <w:proofErr w:type="spellEnd"/>
      <w:r>
        <w:rPr>
          <w:sz w:val="17"/>
        </w:rPr>
        <w:t xml:space="preserve">, R., Charnley, G., and </w:t>
      </w:r>
      <w:proofErr w:type="spellStart"/>
      <w:r>
        <w:rPr>
          <w:sz w:val="17"/>
        </w:rPr>
        <w:t>Dourson</w:t>
      </w:r>
      <w:proofErr w:type="spellEnd"/>
      <w:r>
        <w:rPr>
          <w:sz w:val="17"/>
        </w:rPr>
        <w:t xml:space="preserve">, M., “Differential sensitivity of children and adults to chemical toxicity. I. Biological basis,”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35, No. 3, 2002, pp. 429-447.</w:t>
      </w:r>
    </w:p>
    <w:p w14:paraId="1F6CECF5" w14:textId="77777777" w:rsidR="0026097E" w:rsidRDefault="00284695">
      <w:pPr>
        <w:numPr>
          <w:ilvl w:val="0"/>
          <w:numId w:val="12"/>
        </w:numPr>
        <w:spacing w:after="13" w:line="257" w:lineRule="auto"/>
        <w:ind w:hanging="452"/>
      </w:pPr>
      <w:proofErr w:type="spellStart"/>
      <w:r>
        <w:rPr>
          <w:sz w:val="17"/>
        </w:rPr>
        <w:t>Hilmer</w:t>
      </w:r>
      <w:proofErr w:type="spellEnd"/>
      <w:r>
        <w:rPr>
          <w:sz w:val="17"/>
        </w:rPr>
        <w:t xml:space="preserve">, S. N., “ADME-tox issues for the elderly,” Expert </w:t>
      </w:r>
      <w:proofErr w:type="spellStart"/>
      <w:r>
        <w:rPr>
          <w:sz w:val="17"/>
        </w:rPr>
        <w:t>Opin</w:t>
      </w:r>
      <w:proofErr w:type="spellEnd"/>
      <w:r>
        <w:rPr>
          <w:sz w:val="17"/>
        </w:rPr>
        <w:t xml:space="preserve"> Drug </w:t>
      </w:r>
      <w:proofErr w:type="spellStart"/>
      <w:r>
        <w:rPr>
          <w:sz w:val="17"/>
        </w:rPr>
        <w:t>Metab</w:t>
      </w:r>
      <w:proofErr w:type="spellEnd"/>
      <w:r>
        <w:rPr>
          <w:sz w:val="17"/>
        </w:rPr>
        <w:t xml:space="preserve"> </w:t>
      </w:r>
      <w:proofErr w:type="spellStart"/>
      <w:r>
        <w:rPr>
          <w:sz w:val="17"/>
        </w:rPr>
        <w:t>Toxicol</w:t>
      </w:r>
      <w:proofErr w:type="spellEnd"/>
      <w:r>
        <w:rPr>
          <w:sz w:val="17"/>
        </w:rPr>
        <w:t>, Vol 4, No. 10, 2008, pp. 1321-1331.</w:t>
      </w:r>
    </w:p>
    <w:p w14:paraId="30CB43DA" w14:textId="77777777" w:rsidR="0026097E" w:rsidRDefault="00284695">
      <w:pPr>
        <w:numPr>
          <w:ilvl w:val="0"/>
          <w:numId w:val="12"/>
        </w:numPr>
        <w:spacing w:after="13" w:line="257" w:lineRule="auto"/>
        <w:ind w:hanging="452"/>
      </w:pPr>
      <w:proofErr w:type="spellStart"/>
      <w:r>
        <w:rPr>
          <w:sz w:val="17"/>
        </w:rPr>
        <w:t>Clewell</w:t>
      </w:r>
      <w:proofErr w:type="spellEnd"/>
      <w:r>
        <w:rPr>
          <w:sz w:val="17"/>
        </w:rPr>
        <w:t>, R. A., et al., “Pathway Based Toxicology and Fit-</w:t>
      </w:r>
      <w:proofErr w:type="spellStart"/>
      <w:r>
        <w:rPr>
          <w:sz w:val="17"/>
        </w:rPr>
        <w:t>forPurpose</w:t>
      </w:r>
      <w:proofErr w:type="spellEnd"/>
      <w:r>
        <w:rPr>
          <w:sz w:val="17"/>
        </w:rPr>
        <w:t xml:space="preserve"> Assays,” Adv Exp Med Biol, Vol 856, 2016, pp. 205-230.</w:t>
      </w:r>
    </w:p>
    <w:p w14:paraId="00F6DBAA" w14:textId="77777777" w:rsidR="0026097E" w:rsidRDefault="00284695">
      <w:pPr>
        <w:numPr>
          <w:ilvl w:val="0"/>
          <w:numId w:val="12"/>
        </w:numPr>
        <w:spacing w:after="13" w:line="257" w:lineRule="auto"/>
        <w:ind w:hanging="452"/>
      </w:pPr>
      <w:r>
        <w:rPr>
          <w:sz w:val="17"/>
        </w:rPr>
        <w:t xml:space="preserve">Mielke, H., et al., “The importance of protein binding for the in vitro-in vivo extrapolation (IVIVE)-example of ibuprofen, a highly protein-bound substance,” Arch </w:t>
      </w:r>
      <w:proofErr w:type="spellStart"/>
      <w:r>
        <w:rPr>
          <w:sz w:val="17"/>
        </w:rPr>
        <w:t>Toxicol</w:t>
      </w:r>
      <w:proofErr w:type="spellEnd"/>
      <w:r>
        <w:rPr>
          <w:sz w:val="17"/>
        </w:rPr>
        <w:t>, Vol 91, No. 4, 2017, pp. 1663-1670.</w:t>
      </w:r>
    </w:p>
    <w:p w14:paraId="1955B797" w14:textId="77777777" w:rsidR="0026097E" w:rsidRDefault="00284695">
      <w:pPr>
        <w:numPr>
          <w:ilvl w:val="0"/>
          <w:numId w:val="12"/>
        </w:numPr>
        <w:spacing w:after="13" w:line="257" w:lineRule="auto"/>
        <w:ind w:hanging="452"/>
      </w:pPr>
      <w:r>
        <w:rPr>
          <w:sz w:val="17"/>
        </w:rPr>
        <w:t>Guidance for Applying Quantitative Data to Develop Data-Derived Extrapolation Factors for Interspecies and Intraspecies Extrapolation, U.S. Environmental Protection Agency, Office of the Science Advisor, Risk Assessment Forum, Washington, DC, 2014.</w:t>
      </w:r>
    </w:p>
    <w:p w14:paraId="0870E37E" w14:textId="77777777" w:rsidR="0026097E" w:rsidRDefault="00284695">
      <w:pPr>
        <w:numPr>
          <w:ilvl w:val="0"/>
          <w:numId w:val="12"/>
        </w:numPr>
        <w:spacing w:after="13" w:line="257" w:lineRule="auto"/>
        <w:ind w:hanging="452"/>
      </w:pPr>
      <w:proofErr w:type="spellStart"/>
      <w:r>
        <w:rPr>
          <w:sz w:val="17"/>
        </w:rPr>
        <w:t>Dourson</w:t>
      </w:r>
      <w:proofErr w:type="spellEnd"/>
      <w:r>
        <w:rPr>
          <w:sz w:val="17"/>
        </w:rPr>
        <w:t xml:space="preserve">, M., et al., “Boron tolerable intake: re-evaluation of </w:t>
      </w:r>
      <w:proofErr w:type="spellStart"/>
      <w:r>
        <w:rPr>
          <w:sz w:val="17"/>
        </w:rPr>
        <w:t>toxicokinetics</w:t>
      </w:r>
      <w:proofErr w:type="spellEnd"/>
      <w:r>
        <w:rPr>
          <w:sz w:val="17"/>
        </w:rPr>
        <w:t xml:space="preserve"> for data-derived uncertainty factors,” Biol Trace Elem Res, Vol 66, Nos. 1-3, 1998, pp. 453-463.</w:t>
      </w:r>
    </w:p>
    <w:p w14:paraId="6DD40A43" w14:textId="77777777" w:rsidR="0026097E" w:rsidRDefault="00284695">
      <w:pPr>
        <w:numPr>
          <w:ilvl w:val="0"/>
          <w:numId w:val="12"/>
        </w:numPr>
        <w:spacing w:after="13" w:line="257" w:lineRule="auto"/>
        <w:ind w:hanging="452"/>
      </w:pPr>
      <w:r>
        <w:rPr>
          <w:sz w:val="17"/>
        </w:rPr>
        <w:t>EFSA Panel on Contaminants in the Food Chain (CONTAM), “Scientific Opinion on the risk for public health related to the presence of mercury and methylmercury in food,” EFSA J, Vol 10, No. 12, 2012.</w:t>
      </w:r>
    </w:p>
    <w:p w14:paraId="7A9A9859" w14:textId="77777777" w:rsidR="0026097E" w:rsidRDefault="00284695">
      <w:pPr>
        <w:numPr>
          <w:ilvl w:val="0"/>
          <w:numId w:val="12"/>
        </w:numPr>
        <w:spacing w:after="13" w:line="257" w:lineRule="auto"/>
        <w:ind w:hanging="452"/>
      </w:pPr>
      <w:r>
        <w:rPr>
          <w:sz w:val="17"/>
        </w:rPr>
        <w:t xml:space="preserve">Poulin, P. and Arnett, R., “Integration of a plasma protein binding factor to the Chemical-Specific Adjustment Factor (CSAF) for facilitating the estimation of uncertainties in interspecies extrapolations when deriving health-based exposure limits for active pharmaceutical ingredients: Investigation of recent drug datasets,”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91, 2017, pp. 142-150.</w:t>
      </w:r>
    </w:p>
    <w:p w14:paraId="17D37510" w14:textId="77777777" w:rsidR="0026097E" w:rsidRDefault="00284695">
      <w:pPr>
        <w:numPr>
          <w:ilvl w:val="0"/>
          <w:numId w:val="12"/>
        </w:numPr>
        <w:spacing w:after="13" w:line="257" w:lineRule="auto"/>
        <w:ind w:hanging="452"/>
      </w:pPr>
      <w:r>
        <w:rPr>
          <w:sz w:val="17"/>
        </w:rPr>
        <w:t xml:space="preserve">Brinkmann, M., Preuss, T. G., and </w:t>
      </w:r>
      <w:proofErr w:type="spellStart"/>
      <w:r>
        <w:rPr>
          <w:sz w:val="17"/>
        </w:rPr>
        <w:t>Hollert</w:t>
      </w:r>
      <w:proofErr w:type="spellEnd"/>
      <w:r>
        <w:rPr>
          <w:sz w:val="17"/>
        </w:rPr>
        <w:t xml:space="preserve">, H., “Advancing In Vitro-In Vivo Extrapolations of Mechanism-Specific Toxicity Data Through Toxicokinetic Modeling,” Adv </w:t>
      </w:r>
      <w:proofErr w:type="spellStart"/>
      <w:r>
        <w:rPr>
          <w:sz w:val="17"/>
        </w:rPr>
        <w:t>Biochem</w:t>
      </w:r>
      <w:proofErr w:type="spellEnd"/>
      <w:r>
        <w:rPr>
          <w:sz w:val="17"/>
        </w:rPr>
        <w:t xml:space="preserve"> </w:t>
      </w:r>
      <w:proofErr w:type="spellStart"/>
      <w:r>
        <w:rPr>
          <w:sz w:val="17"/>
        </w:rPr>
        <w:t>Eng</w:t>
      </w:r>
      <w:proofErr w:type="spellEnd"/>
      <w:r>
        <w:rPr>
          <w:sz w:val="17"/>
        </w:rPr>
        <w:t xml:space="preserve"> </w:t>
      </w:r>
      <w:proofErr w:type="spellStart"/>
      <w:r>
        <w:rPr>
          <w:sz w:val="17"/>
        </w:rPr>
        <w:t>Biotechnol</w:t>
      </w:r>
      <w:proofErr w:type="spellEnd"/>
      <w:r>
        <w:rPr>
          <w:sz w:val="17"/>
        </w:rPr>
        <w:t>, Vol 157, 2017, pp. 293-317.</w:t>
      </w:r>
    </w:p>
    <w:p w14:paraId="263E9B7D" w14:textId="77777777" w:rsidR="0026097E" w:rsidRDefault="00284695">
      <w:pPr>
        <w:numPr>
          <w:ilvl w:val="0"/>
          <w:numId w:val="12"/>
        </w:numPr>
        <w:spacing w:after="13" w:line="257" w:lineRule="auto"/>
        <w:ind w:hanging="452"/>
      </w:pPr>
      <w:proofErr w:type="spellStart"/>
      <w:r>
        <w:rPr>
          <w:sz w:val="17"/>
        </w:rPr>
        <w:t>Strikwold</w:t>
      </w:r>
      <w:proofErr w:type="spellEnd"/>
      <w:r>
        <w:rPr>
          <w:sz w:val="17"/>
        </w:rPr>
        <w:t xml:space="preserve">, M., et al., “Integrating in vitro data and physiologically based kinetic (PBK) modelling to assess the in vivo potential developmental toxicity of a series of phenols,” Arch </w:t>
      </w:r>
      <w:proofErr w:type="spellStart"/>
      <w:r>
        <w:rPr>
          <w:sz w:val="17"/>
        </w:rPr>
        <w:t>Toxicol</w:t>
      </w:r>
      <w:proofErr w:type="spellEnd"/>
      <w:r>
        <w:rPr>
          <w:sz w:val="17"/>
        </w:rPr>
        <w:t>, Vol 91, No. 5, 2017, pp. 2119-2133.</w:t>
      </w:r>
    </w:p>
    <w:p w14:paraId="4ADFD87C" w14:textId="77777777" w:rsidR="0026097E" w:rsidRDefault="00284695">
      <w:pPr>
        <w:numPr>
          <w:ilvl w:val="0"/>
          <w:numId w:val="12"/>
        </w:numPr>
        <w:spacing w:after="13" w:line="257" w:lineRule="auto"/>
        <w:ind w:hanging="452"/>
      </w:pPr>
      <w:proofErr w:type="spellStart"/>
      <w:r>
        <w:rPr>
          <w:sz w:val="17"/>
        </w:rPr>
        <w:t>Wambaugh</w:t>
      </w:r>
      <w:proofErr w:type="spellEnd"/>
      <w:r>
        <w:rPr>
          <w:sz w:val="17"/>
        </w:rPr>
        <w:t xml:space="preserve">, J. F., et al., “Evaluating In Vitro-In Vivo Extrapolation of </w:t>
      </w:r>
      <w:proofErr w:type="spellStart"/>
      <w:r>
        <w:rPr>
          <w:sz w:val="17"/>
        </w:rPr>
        <w:t>Toxicokinetics</w:t>
      </w:r>
      <w:proofErr w:type="spellEnd"/>
      <w:r>
        <w:rPr>
          <w:sz w:val="17"/>
        </w:rPr>
        <w:t xml:space="preserve">,” </w:t>
      </w:r>
      <w:proofErr w:type="spellStart"/>
      <w:r>
        <w:rPr>
          <w:sz w:val="17"/>
        </w:rPr>
        <w:t>Toxicol</w:t>
      </w:r>
      <w:proofErr w:type="spellEnd"/>
      <w:r>
        <w:rPr>
          <w:sz w:val="17"/>
        </w:rPr>
        <w:t xml:space="preserve"> Sci, Vol 163, No. 1, 2018, pp. 152-169.</w:t>
      </w:r>
    </w:p>
    <w:p w14:paraId="0880F13B" w14:textId="77777777" w:rsidR="0026097E" w:rsidRDefault="00284695">
      <w:pPr>
        <w:numPr>
          <w:ilvl w:val="0"/>
          <w:numId w:val="12"/>
        </w:numPr>
        <w:spacing w:after="13" w:line="257" w:lineRule="auto"/>
        <w:ind w:hanging="452"/>
      </w:pPr>
      <w:r>
        <w:rPr>
          <w:sz w:val="17"/>
        </w:rPr>
        <w:t xml:space="preserve">Dirks, N. L. and </w:t>
      </w:r>
      <w:proofErr w:type="spellStart"/>
      <w:r>
        <w:rPr>
          <w:sz w:val="17"/>
        </w:rPr>
        <w:t>Meibohm</w:t>
      </w:r>
      <w:proofErr w:type="spellEnd"/>
      <w:r>
        <w:rPr>
          <w:sz w:val="17"/>
        </w:rPr>
        <w:t xml:space="preserve">, B., “Population pharmacokinetics of therapeutic monoclonal antibodies,” Clin </w:t>
      </w:r>
      <w:proofErr w:type="spellStart"/>
      <w:r>
        <w:rPr>
          <w:sz w:val="17"/>
        </w:rPr>
        <w:t>Pharmacokinet</w:t>
      </w:r>
      <w:proofErr w:type="spellEnd"/>
      <w:r>
        <w:rPr>
          <w:sz w:val="17"/>
        </w:rPr>
        <w:t>, Vol 49, No. 10, 2010, pp. 633-659.</w:t>
      </w:r>
    </w:p>
    <w:p w14:paraId="55B3124A" w14:textId="77777777" w:rsidR="0026097E" w:rsidRDefault="00284695">
      <w:pPr>
        <w:numPr>
          <w:ilvl w:val="0"/>
          <w:numId w:val="12"/>
        </w:numPr>
        <w:spacing w:after="13" w:line="257" w:lineRule="auto"/>
        <w:ind w:hanging="452"/>
      </w:pPr>
      <w:proofErr w:type="spellStart"/>
      <w:r>
        <w:rPr>
          <w:sz w:val="17"/>
        </w:rPr>
        <w:t>Edlund</w:t>
      </w:r>
      <w:proofErr w:type="spellEnd"/>
      <w:r>
        <w:rPr>
          <w:sz w:val="17"/>
        </w:rPr>
        <w:t xml:space="preserve">, H., et al., “Pharmacokinetics and </w:t>
      </w:r>
      <w:proofErr w:type="spellStart"/>
      <w:r>
        <w:rPr>
          <w:sz w:val="17"/>
        </w:rPr>
        <w:t>pharmacokineticpharmacodynamic</w:t>
      </w:r>
      <w:proofErr w:type="spellEnd"/>
      <w:r>
        <w:rPr>
          <w:sz w:val="17"/>
        </w:rPr>
        <w:t xml:space="preserve"> relationships of monoclonal antibodies in children,” Clin </w:t>
      </w:r>
      <w:proofErr w:type="spellStart"/>
      <w:r>
        <w:rPr>
          <w:sz w:val="17"/>
        </w:rPr>
        <w:t>Pharmacokinet</w:t>
      </w:r>
      <w:proofErr w:type="spellEnd"/>
      <w:r>
        <w:rPr>
          <w:sz w:val="17"/>
        </w:rPr>
        <w:t>, Vol 54, No. 1, 2015, pp. 35-80.</w:t>
      </w:r>
    </w:p>
    <w:p w14:paraId="51D18104" w14:textId="77777777" w:rsidR="0026097E" w:rsidRDefault="00284695">
      <w:pPr>
        <w:numPr>
          <w:ilvl w:val="0"/>
          <w:numId w:val="12"/>
        </w:numPr>
        <w:spacing w:after="13" w:line="257" w:lineRule="auto"/>
        <w:ind w:hanging="452"/>
      </w:pPr>
      <w:r>
        <w:rPr>
          <w:sz w:val="17"/>
        </w:rPr>
        <w:lastRenderedPageBreak/>
        <w:t>Tabrizi, M., Bornstein, G. G., and Suria, H., “Biodistribution mechanisms of therapeutic monoclonal antibodies in health and disease,” AAPS J, Vol 12, No. 1, 2010, pp. 33-43.</w:t>
      </w:r>
    </w:p>
    <w:p w14:paraId="6D4F5203" w14:textId="77777777" w:rsidR="0026097E" w:rsidRDefault="00284695">
      <w:pPr>
        <w:numPr>
          <w:ilvl w:val="0"/>
          <w:numId w:val="12"/>
        </w:numPr>
        <w:spacing w:after="13" w:line="257" w:lineRule="auto"/>
        <w:ind w:hanging="452"/>
      </w:pPr>
      <w:proofErr w:type="spellStart"/>
      <w:r>
        <w:rPr>
          <w:sz w:val="17"/>
        </w:rPr>
        <w:t>Ternant</w:t>
      </w:r>
      <w:proofErr w:type="spellEnd"/>
      <w:r>
        <w:rPr>
          <w:sz w:val="17"/>
        </w:rPr>
        <w:t xml:space="preserve">, D. and </w:t>
      </w:r>
      <w:proofErr w:type="spellStart"/>
      <w:r>
        <w:rPr>
          <w:sz w:val="17"/>
        </w:rPr>
        <w:t>Paintaud</w:t>
      </w:r>
      <w:proofErr w:type="spellEnd"/>
      <w:r>
        <w:rPr>
          <w:sz w:val="17"/>
        </w:rPr>
        <w:t xml:space="preserve">, G., “Pharmacokinetics and </w:t>
      </w:r>
      <w:proofErr w:type="spellStart"/>
      <w:r>
        <w:rPr>
          <w:sz w:val="17"/>
        </w:rPr>
        <w:t>concentrationeffect</w:t>
      </w:r>
      <w:proofErr w:type="spellEnd"/>
      <w:r>
        <w:rPr>
          <w:sz w:val="17"/>
        </w:rPr>
        <w:t xml:space="preserve"> relationships of therapeutic monoclonal antibodies and fusion proteins,” Expert </w:t>
      </w:r>
      <w:proofErr w:type="spellStart"/>
      <w:r>
        <w:rPr>
          <w:sz w:val="17"/>
        </w:rPr>
        <w:t>Opin</w:t>
      </w:r>
      <w:proofErr w:type="spellEnd"/>
      <w:r>
        <w:rPr>
          <w:sz w:val="17"/>
        </w:rPr>
        <w:t xml:space="preserve"> Biol </w:t>
      </w:r>
      <w:proofErr w:type="spellStart"/>
      <w:r>
        <w:rPr>
          <w:sz w:val="17"/>
        </w:rPr>
        <w:t>Ther</w:t>
      </w:r>
      <w:proofErr w:type="spellEnd"/>
      <w:r>
        <w:rPr>
          <w:sz w:val="17"/>
        </w:rPr>
        <w:t>, Vol 5, Suppl 1, 2005, pp. S37-S47.</w:t>
      </w:r>
    </w:p>
    <w:p w14:paraId="170A3BF2" w14:textId="77777777" w:rsidR="0026097E" w:rsidRDefault="00284695">
      <w:pPr>
        <w:numPr>
          <w:ilvl w:val="0"/>
          <w:numId w:val="12"/>
        </w:numPr>
        <w:spacing w:after="13" w:line="257" w:lineRule="auto"/>
        <w:ind w:hanging="452"/>
      </w:pPr>
      <w:r>
        <w:rPr>
          <w:sz w:val="17"/>
        </w:rPr>
        <w:t xml:space="preserve">Khalil, F. and </w:t>
      </w:r>
      <w:proofErr w:type="spellStart"/>
      <w:r>
        <w:rPr>
          <w:sz w:val="17"/>
        </w:rPr>
        <w:t>Laer</w:t>
      </w:r>
      <w:proofErr w:type="spellEnd"/>
      <w:r>
        <w:rPr>
          <w:sz w:val="17"/>
        </w:rPr>
        <w:t>, S., “Physiologically based pharmacokinetic models in the prediction of oral drug exposure over the entire pediatric age range-sotalol as a model drug,” AAPS J, Vol 16, No. 2, 2014, pp. 226-239.</w:t>
      </w:r>
    </w:p>
    <w:p w14:paraId="7EAA7A51" w14:textId="77777777" w:rsidR="0026097E" w:rsidRDefault="00284695">
      <w:pPr>
        <w:numPr>
          <w:ilvl w:val="0"/>
          <w:numId w:val="12"/>
        </w:numPr>
        <w:spacing w:after="13" w:line="257" w:lineRule="auto"/>
        <w:ind w:hanging="452"/>
      </w:pPr>
      <w:proofErr w:type="spellStart"/>
      <w:r>
        <w:rPr>
          <w:sz w:val="17"/>
        </w:rPr>
        <w:t>Areberg</w:t>
      </w:r>
      <w:proofErr w:type="spellEnd"/>
      <w:r>
        <w:rPr>
          <w:sz w:val="17"/>
        </w:rPr>
        <w:t xml:space="preserve">, J., et al., “Population pharmacokinetic meta-analysis of vortioxetine in healthy individuals,” Basic Clin </w:t>
      </w:r>
      <w:proofErr w:type="spellStart"/>
      <w:r>
        <w:rPr>
          <w:sz w:val="17"/>
        </w:rPr>
        <w:t>Pharmacol</w:t>
      </w:r>
      <w:proofErr w:type="spellEnd"/>
      <w:r>
        <w:rPr>
          <w:sz w:val="17"/>
        </w:rPr>
        <w:t xml:space="preserve"> </w:t>
      </w:r>
      <w:proofErr w:type="spellStart"/>
      <w:r>
        <w:rPr>
          <w:sz w:val="17"/>
        </w:rPr>
        <w:t>Toxicol</w:t>
      </w:r>
      <w:proofErr w:type="spellEnd"/>
      <w:r>
        <w:rPr>
          <w:sz w:val="17"/>
        </w:rPr>
        <w:t>, Vol 115, No. 6, 2014, pp. 552-559.</w:t>
      </w:r>
    </w:p>
    <w:p w14:paraId="6D237999" w14:textId="77777777" w:rsidR="0026097E" w:rsidRDefault="00284695">
      <w:pPr>
        <w:numPr>
          <w:ilvl w:val="0"/>
          <w:numId w:val="12"/>
        </w:numPr>
        <w:spacing w:after="13" w:line="257" w:lineRule="auto"/>
        <w:ind w:hanging="452"/>
      </w:pPr>
      <w:r>
        <w:rPr>
          <w:sz w:val="17"/>
        </w:rPr>
        <w:t xml:space="preserve">Naik, H., et al., “A Population Pharmacokinetic-Pharmacodynamic Meta-Analysis of Vortioxetine in Patients with Major Depressive Disorder,” Basic Clin </w:t>
      </w:r>
      <w:proofErr w:type="spellStart"/>
      <w:r>
        <w:rPr>
          <w:sz w:val="17"/>
        </w:rPr>
        <w:t>Pharmacol</w:t>
      </w:r>
      <w:proofErr w:type="spellEnd"/>
      <w:r>
        <w:rPr>
          <w:sz w:val="17"/>
        </w:rPr>
        <w:t xml:space="preserve"> </w:t>
      </w:r>
      <w:proofErr w:type="spellStart"/>
      <w:r>
        <w:rPr>
          <w:sz w:val="17"/>
        </w:rPr>
        <w:t>Toxicol</w:t>
      </w:r>
      <w:proofErr w:type="spellEnd"/>
      <w:r>
        <w:rPr>
          <w:sz w:val="17"/>
        </w:rPr>
        <w:t>, Vol 118, No. 5, 2016, pp. 344-355.</w:t>
      </w:r>
    </w:p>
    <w:p w14:paraId="04FCCC4F" w14:textId="77777777" w:rsidR="0026097E" w:rsidRDefault="00284695">
      <w:pPr>
        <w:numPr>
          <w:ilvl w:val="0"/>
          <w:numId w:val="12"/>
        </w:numPr>
        <w:spacing w:after="13" w:line="257" w:lineRule="auto"/>
        <w:ind w:hanging="452"/>
      </w:pPr>
      <w:r>
        <w:rPr>
          <w:sz w:val="17"/>
        </w:rPr>
        <w:t xml:space="preserve">Chen, P., et al., “Population Pharmacokinetics and Pharmacodynamics of the </w:t>
      </w:r>
      <w:proofErr w:type="spellStart"/>
      <w:r>
        <w:rPr>
          <w:sz w:val="17"/>
        </w:rPr>
        <w:t>Calcimimetic</w:t>
      </w:r>
      <w:proofErr w:type="spellEnd"/>
      <w:r>
        <w:rPr>
          <w:sz w:val="17"/>
        </w:rPr>
        <w:t xml:space="preserve"> </w:t>
      </w:r>
      <w:proofErr w:type="spellStart"/>
      <w:r>
        <w:rPr>
          <w:sz w:val="17"/>
        </w:rPr>
        <w:t>Etelcalcetide</w:t>
      </w:r>
      <w:proofErr w:type="spellEnd"/>
      <w:r>
        <w:rPr>
          <w:sz w:val="17"/>
        </w:rPr>
        <w:t xml:space="preserve"> in Chronic Kidney Disease and Secondary Hyperparathyroidism Receiving Hemodialysis,” CPT Pharmacometrics Syst </w:t>
      </w:r>
      <w:proofErr w:type="spellStart"/>
      <w:r>
        <w:rPr>
          <w:sz w:val="17"/>
        </w:rPr>
        <w:t>Pharmacol</w:t>
      </w:r>
      <w:proofErr w:type="spellEnd"/>
      <w:r>
        <w:rPr>
          <w:sz w:val="17"/>
        </w:rPr>
        <w:t>, Vol 5, No. 9, 2016, pp. 484-494.</w:t>
      </w:r>
    </w:p>
    <w:p w14:paraId="7136B190" w14:textId="77777777" w:rsidR="0026097E" w:rsidRDefault="00284695">
      <w:pPr>
        <w:numPr>
          <w:ilvl w:val="0"/>
          <w:numId w:val="12"/>
        </w:numPr>
        <w:spacing w:after="13" w:line="257" w:lineRule="auto"/>
        <w:ind w:hanging="452"/>
      </w:pPr>
      <w:r>
        <w:rPr>
          <w:sz w:val="17"/>
        </w:rPr>
        <w:t xml:space="preserve">Naumann, B. D., et al., “Case Studies of Categorical Data-Derived Adjustment Factors,” Human </w:t>
      </w:r>
      <w:proofErr w:type="spellStart"/>
      <w:r>
        <w:rPr>
          <w:sz w:val="17"/>
        </w:rPr>
        <w:t>Ecol</w:t>
      </w:r>
      <w:proofErr w:type="spellEnd"/>
      <w:r>
        <w:rPr>
          <w:sz w:val="17"/>
        </w:rPr>
        <w:t xml:space="preserve"> Risk Assess, Vol 7, No. 1, 2001, pp. 61-105.</w:t>
      </w:r>
    </w:p>
    <w:p w14:paraId="5A46CA5C" w14:textId="77777777" w:rsidR="0026097E" w:rsidRDefault="00284695">
      <w:pPr>
        <w:numPr>
          <w:ilvl w:val="0"/>
          <w:numId w:val="12"/>
        </w:numPr>
        <w:spacing w:after="13" w:line="257" w:lineRule="auto"/>
        <w:ind w:hanging="452"/>
      </w:pPr>
      <w:proofErr w:type="spellStart"/>
      <w:r>
        <w:rPr>
          <w:sz w:val="17"/>
        </w:rPr>
        <w:t>Dourson</w:t>
      </w:r>
      <w:proofErr w:type="spellEnd"/>
      <w:r>
        <w:rPr>
          <w:sz w:val="17"/>
        </w:rPr>
        <w:t xml:space="preserve">, M. L., </w:t>
      </w:r>
      <w:proofErr w:type="spellStart"/>
      <w:r>
        <w:rPr>
          <w:sz w:val="17"/>
        </w:rPr>
        <w:t>Felter</w:t>
      </w:r>
      <w:proofErr w:type="spellEnd"/>
      <w:r>
        <w:rPr>
          <w:sz w:val="17"/>
        </w:rPr>
        <w:t>, S. P., and Robinson, D., “Evolution of science-based uncertainty factors in noncancer risk assessment</w:t>
      </w:r>
      <w:proofErr w:type="gramStart"/>
      <w:r>
        <w:rPr>
          <w:sz w:val="17"/>
        </w:rPr>
        <w:t>, ”</w:t>
      </w:r>
      <w:proofErr w:type="gramEnd"/>
      <w:r>
        <w:rPr>
          <w:sz w:val="17"/>
        </w:rPr>
        <w:t xml:space="preserve">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24, (2 Pt 1, 1996, pp. 108-120.</w:t>
      </w:r>
    </w:p>
    <w:p w14:paraId="68CE1EBC" w14:textId="77777777" w:rsidR="0026097E" w:rsidRDefault="00284695">
      <w:pPr>
        <w:numPr>
          <w:ilvl w:val="0"/>
          <w:numId w:val="12"/>
        </w:numPr>
        <w:spacing w:after="13" w:line="257" w:lineRule="auto"/>
        <w:ind w:hanging="452"/>
      </w:pPr>
      <w:proofErr w:type="spellStart"/>
      <w:r>
        <w:rPr>
          <w:sz w:val="17"/>
        </w:rPr>
        <w:t>Faria</w:t>
      </w:r>
      <w:proofErr w:type="spellEnd"/>
      <w:r>
        <w:rPr>
          <w:sz w:val="17"/>
        </w:rPr>
        <w:t xml:space="preserve">, E. C., et al., “Using default methodologies to derive an acceptable daily exposure (ADE),”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79, Suppl 1, 2016. pp. S28-S38.</w:t>
      </w:r>
    </w:p>
    <w:p w14:paraId="467E010A" w14:textId="77777777" w:rsidR="0026097E" w:rsidRDefault="00284695">
      <w:pPr>
        <w:numPr>
          <w:ilvl w:val="0"/>
          <w:numId w:val="12"/>
        </w:numPr>
        <w:spacing w:after="13" w:line="257" w:lineRule="auto"/>
        <w:ind w:hanging="452"/>
      </w:pPr>
      <w:r>
        <w:rPr>
          <w:sz w:val="17"/>
        </w:rPr>
        <w:t xml:space="preserve">Sussman, R. G., et al., “A harmonization effort for acceptable daily exposure derivation – Considerations for application of adjustment factors,”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79, Suppl 1, 2016, pp. S57-S66.</w:t>
      </w:r>
    </w:p>
    <w:p w14:paraId="6AFAC84D" w14:textId="77777777" w:rsidR="0026097E" w:rsidRDefault="00284695">
      <w:pPr>
        <w:numPr>
          <w:ilvl w:val="0"/>
          <w:numId w:val="12"/>
        </w:numPr>
        <w:spacing w:after="13" w:line="257" w:lineRule="auto"/>
        <w:ind w:hanging="452"/>
      </w:pPr>
      <w:r>
        <w:rPr>
          <w:sz w:val="17"/>
        </w:rPr>
        <w:t xml:space="preserve">Dolan, D. G., et al., “Application of the threshold of toxicological concern concept to pharmaceutical manufacturing operations,”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43, No. 1, 2005. pp. 1-9.</w:t>
      </w:r>
    </w:p>
    <w:p w14:paraId="31E332DA" w14:textId="77777777" w:rsidR="0026097E" w:rsidRDefault="00284695">
      <w:pPr>
        <w:numPr>
          <w:ilvl w:val="0"/>
          <w:numId w:val="12"/>
        </w:numPr>
        <w:spacing w:after="13" w:line="257" w:lineRule="auto"/>
        <w:ind w:hanging="452"/>
      </w:pPr>
      <w:r>
        <w:rPr>
          <w:sz w:val="17"/>
        </w:rPr>
        <w:t>U.S. Food and Drug Administration, “Food Additives; Threshold of Regulation for Substances Used in Food-Contact Articles. Final Rule,” in Federal Register, 1995, pp. 36581-36596.</w:t>
      </w:r>
    </w:p>
    <w:p w14:paraId="742298DA" w14:textId="77777777" w:rsidR="0026097E" w:rsidRDefault="00284695">
      <w:pPr>
        <w:numPr>
          <w:ilvl w:val="0"/>
          <w:numId w:val="12"/>
        </w:numPr>
        <w:spacing w:after="13" w:line="257" w:lineRule="auto"/>
        <w:ind w:hanging="452"/>
      </w:pPr>
      <w:r>
        <w:rPr>
          <w:sz w:val="17"/>
        </w:rPr>
        <w:t xml:space="preserve">Müller, L., et al., “A rationale for determining, testing, and controlling specific impurities in pharmaceuticals that possess potential for genotoxicity,”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44, No. 3, 2006, pp. 198-211.</w:t>
      </w:r>
    </w:p>
    <w:p w14:paraId="6E4EE438" w14:textId="77777777" w:rsidR="0026097E" w:rsidRDefault="00284695">
      <w:pPr>
        <w:numPr>
          <w:ilvl w:val="0"/>
          <w:numId w:val="12"/>
        </w:numPr>
        <w:spacing w:after="13" w:line="257" w:lineRule="auto"/>
        <w:ind w:hanging="452"/>
      </w:pPr>
      <w:proofErr w:type="spellStart"/>
      <w:r>
        <w:rPr>
          <w:sz w:val="17"/>
        </w:rPr>
        <w:t>Kroes</w:t>
      </w:r>
      <w:proofErr w:type="spellEnd"/>
      <w:r>
        <w:rPr>
          <w:sz w:val="17"/>
        </w:rPr>
        <w:t xml:space="preserve">, R., et al., “Structure-based thresholds of toxicological concern (TTC): guidance for application to substances present at low levels in the diet,” Food Chem </w:t>
      </w:r>
      <w:proofErr w:type="spellStart"/>
      <w:r>
        <w:rPr>
          <w:sz w:val="17"/>
        </w:rPr>
        <w:t>Toxicol</w:t>
      </w:r>
      <w:proofErr w:type="spellEnd"/>
      <w:r>
        <w:rPr>
          <w:sz w:val="17"/>
        </w:rPr>
        <w:t>, Vol 42, No. 1, 2004, pp. 65-83.</w:t>
      </w:r>
    </w:p>
    <w:p w14:paraId="63963074" w14:textId="77777777" w:rsidR="0026097E" w:rsidRDefault="00284695">
      <w:pPr>
        <w:numPr>
          <w:ilvl w:val="0"/>
          <w:numId w:val="12"/>
        </w:numPr>
        <w:spacing w:after="13" w:line="257" w:lineRule="auto"/>
        <w:ind w:hanging="452"/>
      </w:pPr>
      <w:r>
        <w:rPr>
          <w:sz w:val="17"/>
        </w:rPr>
        <w:t xml:space="preserve">Cramer, G. M., Ford, R. A., and Hall, R. L., “Estimation of toxic hazard – a decision tree approach,” Food </w:t>
      </w:r>
      <w:proofErr w:type="spellStart"/>
      <w:r>
        <w:rPr>
          <w:sz w:val="17"/>
        </w:rPr>
        <w:t>Cosmet</w:t>
      </w:r>
      <w:proofErr w:type="spellEnd"/>
      <w:r>
        <w:rPr>
          <w:sz w:val="17"/>
        </w:rPr>
        <w:t xml:space="preserve"> </w:t>
      </w:r>
      <w:proofErr w:type="spellStart"/>
      <w:r>
        <w:rPr>
          <w:sz w:val="17"/>
        </w:rPr>
        <w:t>Toxicol</w:t>
      </w:r>
      <w:proofErr w:type="spellEnd"/>
      <w:r>
        <w:rPr>
          <w:sz w:val="17"/>
        </w:rPr>
        <w:t>, Vol 16, No. 3, 1978, pp. 255-276.</w:t>
      </w:r>
    </w:p>
    <w:p w14:paraId="13CDB294" w14:textId="77777777" w:rsidR="0026097E" w:rsidRDefault="00284695">
      <w:pPr>
        <w:numPr>
          <w:ilvl w:val="0"/>
          <w:numId w:val="12"/>
        </w:numPr>
        <w:spacing w:after="13" w:line="257" w:lineRule="auto"/>
        <w:ind w:hanging="452"/>
      </w:pPr>
      <w:proofErr w:type="spellStart"/>
      <w:r>
        <w:rPr>
          <w:sz w:val="17"/>
        </w:rPr>
        <w:t>Stanard</w:t>
      </w:r>
      <w:proofErr w:type="spellEnd"/>
      <w:r>
        <w:rPr>
          <w:sz w:val="17"/>
        </w:rPr>
        <w:t xml:space="preserve">, B., Dolan, D. G., </w:t>
      </w:r>
      <w:proofErr w:type="spellStart"/>
      <w:r>
        <w:rPr>
          <w:sz w:val="17"/>
        </w:rPr>
        <w:t>Hanneman</w:t>
      </w:r>
      <w:proofErr w:type="spellEnd"/>
      <w:r>
        <w:rPr>
          <w:sz w:val="17"/>
        </w:rPr>
        <w:t xml:space="preserve">, W., </w:t>
      </w:r>
      <w:proofErr w:type="spellStart"/>
      <w:r>
        <w:rPr>
          <w:sz w:val="17"/>
        </w:rPr>
        <w:t>Legare</w:t>
      </w:r>
      <w:proofErr w:type="spellEnd"/>
      <w:r>
        <w:rPr>
          <w:sz w:val="17"/>
        </w:rPr>
        <w:t xml:space="preserve">, M., &amp; </w:t>
      </w:r>
      <w:proofErr w:type="spellStart"/>
      <w:r>
        <w:rPr>
          <w:sz w:val="17"/>
        </w:rPr>
        <w:t>Bercu</w:t>
      </w:r>
      <w:proofErr w:type="spellEnd"/>
      <w:r>
        <w:rPr>
          <w:sz w:val="17"/>
        </w:rPr>
        <w:t xml:space="preserve">, J. P. (2015). Threshold of toxicological concern (TTC) for developmental and reproductive toxicity of anticancer compounds.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72(3), 602-609.</w:t>
      </w:r>
    </w:p>
    <w:p w14:paraId="55488279" w14:textId="77777777" w:rsidR="0026097E" w:rsidRDefault="00284695">
      <w:pPr>
        <w:numPr>
          <w:ilvl w:val="0"/>
          <w:numId w:val="12"/>
        </w:numPr>
        <w:spacing w:after="13" w:line="257" w:lineRule="auto"/>
        <w:ind w:hanging="452"/>
      </w:pPr>
      <w:proofErr w:type="spellStart"/>
      <w:r>
        <w:rPr>
          <w:sz w:val="17"/>
        </w:rPr>
        <w:t>Lovsin</w:t>
      </w:r>
      <w:proofErr w:type="spellEnd"/>
      <w:r>
        <w:rPr>
          <w:sz w:val="17"/>
        </w:rPr>
        <w:t xml:space="preserve"> </w:t>
      </w:r>
      <w:proofErr w:type="spellStart"/>
      <w:r>
        <w:rPr>
          <w:sz w:val="17"/>
        </w:rPr>
        <w:t>Barle</w:t>
      </w:r>
      <w:proofErr w:type="spellEnd"/>
      <w:r>
        <w:rPr>
          <w:sz w:val="17"/>
        </w:rPr>
        <w:t>, E., et al., “Determination and application of the permitted daily exposure (PDE) for topical ocular drugs in multipurpose manufacturing facilities,” Pharm Dev Technol, Vol 23, No. 3, 2018, pp. 225-230.</w:t>
      </w:r>
    </w:p>
    <w:p w14:paraId="59C24A53" w14:textId="77777777" w:rsidR="0026097E" w:rsidRDefault="00284695">
      <w:pPr>
        <w:numPr>
          <w:ilvl w:val="0"/>
          <w:numId w:val="12"/>
        </w:numPr>
        <w:spacing w:after="13" w:line="257" w:lineRule="auto"/>
        <w:ind w:hanging="452"/>
      </w:pPr>
      <w:proofErr w:type="spellStart"/>
      <w:r>
        <w:rPr>
          <w:sz w:val="17"/>
        </w:rPr>
        <w:t>Lovsin</w:t>
      </w:r>
      <w:proofErr w:type="spellEnd"/>
      <w:r>
        <w:rPr>
          <w:sz w:val="17"/>
        </w:rPr>
        <w:t xml:space="preserve"> </w:t>
      </w:r>
      <w:proofErr w:type="spellStart"/>
      <w:r>
        <w:rPr>
          <w:sz w:val="17"/>
        </w:rPr>
        <w:t>Barle</w:t>
      </w:r>
      <w:proofErr w:type="spellEnd"/>
      <w:r>
        <w:rPr>
          <w:sz w:val="17"/>
        </w:rPr>
        <w:t xml:space="preserve">, E., et al., “Use of the permitted daily exposure (PDE) concept for contaminants of intravitreal (IVT) drugs in </w:t>
      </w:r>
      <w:r>
        <w:rPr>
          <w:sz w:val="17"/>
        </w:rPr>
        <w:t xml:space="preserve">multipurpose manufacturing facilities,”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101, 2019, pp. 29-34.</w:t>
      </w:r>
    </w:p>
    <w:p w14:paraId="0DAA4159" w14:textId="77777777" w:rsidR="0026097E" w:rsidRDefault="00284695">
      <w:pPr>
        <w:numPr>
          <w:ilvl w:val="0"/>
          <w:numId w:val="12"/>
        </w:numPr>
        <w:spacing w:after="13" w:line="257" w:lineRule="auto"/>
        <w:ind w:hanging="452"/>
      </w:pPr>
      <w:r>
        <w:rPr>
          <w:sz w:val="17"/>
        </w:rPr>
        <w:t xml:space="preserve">Wiesner, L., </w:t>
      </w:r>
      <w:proofErr w:type="spellStart"/>
      <w:r>
        <w:rPr>
          <w:sz w:val="17"/>
        </w:rPr>
        <w:t>Prause</w:t>
      </w:r>
      <w:proofErr w:type="spellEnd"/>
      <w:r>
        <w:rPr>
          <w:sz w:val="17"/>
        </w:rPr>
        <w:t xml:space="preserve">, M., and </w:t>
      </w:r>
      <w:proofErr w:type="spellStart"/>
      <w:r>
        <w:rPr>
          <w:sz w:val="17"/>
        </w:rPr>
        <w:t>Lovsin</w:t>
      </w:r>
      <w:proofErr w:type="spellEnd"/>
      <w:r>
        <w:rPr>
          <w:sz w:val="17"/>
        </w:rPr>
        <w:t xml:space="preserve"> </w:t>
      </w:r>
      <w:proofErr w:type="spellStart"/>
      <w:r>
        <w:rPr>
          <w:sz w:val="17"/>
        </w:rPr>
        <w:t>Barle</w:t>
      </w:r>
      <w:proofErr w:type="spellEnd"/>
      <w:r>
        <w:rPr>
          <w:sz w:val="17"/>
        </w:rPr>
        <w:t xml:space="preserve">, E., “Topical </w:t>
      </w:r>
      <w:proofErr w:type="spellStart"/>
      <w:r>
        <w:rPr>
          <w:sz w:val="17"/>
        </w:rPr>
        <w:t>otic</w:t>
      </w:r>
      <w:proofErr w:type="spellEnd"/>
      <w:r>
        <w:rPr>
          <w:sz w:val="17"/>
        </w:rPr>
        <w:t xml:space="preserve"> drugs in a multi-purpose manufacturing facility: a guide on determination and application of permitted daily exposure (PDE),” Pharm Dev Technol, Vol 23, No. 3, 2018, pp. 261-264.</w:t>
      </w:r>
    </w:p>
    <w:p w14:paraId="5799BC16" w14:textId="77777777" w:rsidR="0026097E" w:rsidRDefault="00284695">
      <w:pPr>
        <w:numPr>
          <w:ilvl w:val="0"/>
          <w:numId w:val="12"/>
        </w:numPr>
        <w:spacing w:after="13" w:line="257" w:lineRule="auto"/>
        <w:ind w:hanging="452"/>
      </w:pPr>
      <w:r>
        <w:rPr>
          <w:sz w:val="17"/>
        </w:rPr>
        <w:t xml:space="preserve">Lian, G., Chen, L., and Han, </w:t>
      </w:r>
      <w:proofErr w:type="spellStart"/>
      <w:proofErr w:type="gramStart"/>
      <w:r>
        <w:rPr>
          <w:sz w:val="17"/>
        </w:rPr>
        <w:t>L.,“</w:t>
      </w:r>
      <w:proofErr w:type="gramEnd"/>
      <w:r>
        <w:rPr>
          <w:sz w:val="17"/>
        </w:rPr>
        <w:t>An</w:t>
      </w:r>
      <w:proofErr w:type="spellEnd"/>
      <w:r>
        <w:rPr>
          <w:sz w:val="17"/>
        </w:rPr>
        <w:t xml:space="preserve"> evaluation of mathematical models for predicting skin permeability,” J Pharm Sci, Vol 97, No. 1, 2008, pp. 584-598.</w:t>
      </w:r>
    </w:p>
    <w:p w14:paraId="3FD18025" w14:textId="77777777" w:rsidR="0026097E" w:rsidRDefault="00284695">
      <w:pPr>
        <w:numPr>
          <w:ilvl w:val="0"/>
          <w:numId w:val="12"/>
        </w:numPr>
        <w:spacing w:after="13" w:line="257" w:lineRule="auto"/>
        <w:ind w:hanging="452"/>
      </w:pPr>
      <w:r>
        <w:rPr>
          <w:sz w:val="17"/>
        </w:rPr>
        <w:t xml:space="preserve">Safety Thresholds and Best Practices for Extractables and </w:t>
      </w:r>
      <w:proofErr w:type="spellStart"/>
      <w:r>
        <w:rPr>
          <w:sz w:val="17"/>
        </w:rPr>
        <w:t>Leachables</w:t>
      </w:r>
      <w:proofErr w:type="spellEnd"/>
      <w:r>
        <w:rPr>
          <w:sz w:val="17"/>
        </w:rPr>
        <w:t xml:space="preserve"> in Orally Inhaled and Nasal Drug Products, Product Quality Research Institute, Arlington, VA, 2006, p. 272.</w:t>
      </w:r>
    </w:p>
    <w:p w14:paraId="632DD159" w14:textId="77777777" w:rsidR="0026097E" w:rsidRDefault="00284695">
      <w:pPr>
        <w:numPr>
          <w:ilvl w:val="0"/>
          <w:numId w:val="12"/>
        </w:numPr>
        <w:spacing w:after="13" w:line="257" w:lineRule="auto"/>
        <w:ind w:hanging="452"/>
      </w:pPr>
      <w:proofErr w:type="spellStart"/>
      <w:r>
        <w:rPr>
          <w:sz w:val="17"/>
        </w:rPr>
        <w:t>Bercu</w:t>
      </w:r>
      <w:proofErr w:type="spellEnd"/>
      <w:r>
        <w:rPr>
          <w:sz w:val="17"/>
        </w:rPr>
        <w:t xml:space="preserve">, J. P., </w:t>
      </w:r>
      <w:proofErr w:type="spellStart"/>
      <w:r>
        <w:rPr>
          <w:sz w:val="17"/>
        </w:rPr>
        <w:t>Sharnez</w:t>
      </w:r>
      <w:proofErr w:type="spellEnd"/>
      <w:r>
        <w:rPr>
          <w:sz w:val="17"/>
        </w:rPr>
        <w:t>, R., and Dolan, D. G., “Advancing toxicology in Risk-</w:t>
      </w:r>
      <w:proofErr w:type="spellStart"/>
      <w:r>
        <w:rPr>
          <w:sz w:val="17"/>
        </w:rPr>
        <w:t>MaPP</w:t>
      </w:r>
      <w:proofErr w:type="spellEnd"/>
      <w:r>
        <w:rPr>
          <w:sz w:val="17"/>
        </w:rPr>
        <w:t xml:space="preserve">: Setting ADEs based on the subsequent drug substance,”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65, No. 1, 2013, pp. 157-161.</w:t>
      </w:r>
    </w:p>
    <w:p w14:paraId="6FC52F3A" w14:textId="77777777" w:rsidR="0026097E" w:rsidRDefault="00284695">
      <w:pPr>
        <w:numPr>
          <w:ilvl w:val="0"/>
          <w:numId w:val="12"/>
        </w:numPr>
        <w:spacing w:after="13" w:line="257" w:lineRule="auto"/>
        <w:ind w:hanging="452"/>
      </w:pPr>
      <w:proofErr w:type="spellStart"/>
      <w:r>
        <w:rPr>
          <w:sz w:val="17"/>
        </w:rPr>
        <w:t>Bercu</w:t>
      </w:r>
      <w:proofErr w:type="spellEnd"/>
      <w:r>
        <w:rPr>
          <w:sz w:val="17"/>
        </w:rPr>
        <w:t xml:space="preserve">, J. P. and Dolan, D. G. “Application of the threshold of toxicological concern concept when applied to pharmaceutical manufacturing operations intended for short-term clinical trials,”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65, No. 1, 2013, pp. 162-167.</w:t>
      </w:r>
    </w:p>
    <w:p w14:paraId="7AB1B37C" w14:textId="77777777" w:rsidR="0026097E" w:rsidRDefault="00284695">
      <w:pPr>
        <w:numPr>
          <w:ilvl w:val="0"/>
          <w:numId w:val="12"/>
        </w:numPr>
        <w:spacing w:after="13" w:line="257" w:lineRule="auto"/>
        <w:ind w:hanging="452"/>
      </w:pPr>
      <w:r>
        <w:rPr>
          <w:sz w:val="17"/>
        </w:rPr>
        <w:t>Guidance for Industry: Non-Penicillin Beta-Lactam Drugs: A CGMP Framework for Preventing Cross-Contamination, U.S. Department of Health and Human Services, Food and Drug</w:t>
      </w:r>
    </w:p>
    <w:p w14:paraId="0E3FA026" w14:textId="77777777" w:rsidR="0026097E" w:rsidRDefault="00284695">
      <w:pPr>
        <w:spacing w:after="13" w:line="257" w:lineRule="auto"/>
        <w:ind w:left="452" w:firstLine="0"/>
      </w:pPr>
      <w:r>
        <w:rPr>
          <w:sz w:val="17"/>
        </w:rPr>
        <w:t>Administration, Center for Drug Evaluation and Research (CDER), Silver Spring, MD, 2013, p. 10.</w:t>
      </w:r>
    </w:p>
    <w:p w14:paraId="39EF8E46" w14:textId="77777777" w:rsidR="0026097E" w:rsidRDefault="00284695">
      <w:pPr>
        <w:numPr>
          <w:ilvl w:val="0"/>
          <w:numId w:val="12"/>
        </w:numPr>
        <w:spacing w:after="13" w:line="257" w:lineRule="auto"/>
        <w:ind w:hanging="452"/>
      </w:pPr>
      <w:r>
        <w:rPr>
          <w:sz w:val="17"/>
        </w:rPr>
        <w:t>WHO Good Manufacturing Practices for Pharmaceutical Products: Main Principles, WHO Technical Report Series, No. 986, Annex 2, 2014.</w:t>
      </w:r>
    </w:p>
    <w:p w14:paraId="3631DD4F" w14:textId="77777777" w:rsidR="0026097E" w:rsidRDefault="00284695">
      <w:pPr>
        <w:numPr>
          <w:ilvl w:val="0"/>
          <w:numId w:val="12"/>
        </w:numPr>
        <w:spacing w:after="13" w:line="257" w:lineRule="auto"/>
        <w:ind w:hanging="452"/>
      </w:pPr>
      <w:r>
        <w:rPr>
          <w:sz w:val="17"/>
        </w:rPr>
        <w:t xml:space="preserve">Cochrane, S. A., et al., “Thresholds in chemical respiratory </w:t>
      </w:r>
      <w:proofErr w:type="spellStart"/>
      <w:r>
        <w:rPr>
          <w:sz w:val="17"/>
        </w:rPr>
        <w:t>sensitisation</w:t>
      </w:r>
      <w:proofErr w:type="spellEnd"/>
      <w:r>
        <w:rPr>
          <w:sz w:val="17"/>
        </w:rPr>
        <w:t>,” Toxicology, Vol 333, 2015, pp. 179-194.</w:t>
      </w:r>
    </w:p>
    <w:p w14:paraId="3203FD49" w14:textId="77777777" w:rsidR="0026097E" w:rsidRDefault="00284695">
      <w:pPr>
        <w:numPr>
          <w:ilvl w:val="0"/>
          <w:numId w:val="12"/>
        </w:numPr>
        <w:spacing w:after="13" w:line="257" w:lineRule="auto"/>
        <w:ind w:hanging="452"/>
      </w:pPr>
      <w:r>
        <w:rPr>
          <w:sz w:val="17"/>
        </w:rPr>
        <w:t xml:space="preserve">Guideline to Good </w:t>
      </w:r>
      <w:proofErr w:type="spellStart"/>
      <w:r>
        <w:rPr>
          <w:sz w:val="17"/>
        </w:rPr>
        <w:t>Manfacturing</w:t>
      </w:r>
      <w:proofErr w:type="spellEnd"/>
      <w:r>
        <w:rPr>
          <w:sz w:val="17"/>
        </w:rPr>
        <w:t xml:space="preserve"> Practice for Medicinal Products. Part I, Pharmaceutical Inspection Convention, Pharmaceutical Inspection Co-Operation Scheme, Geneva, Switzerland, 2018.</w:t>
      </w:r>
    </w:p>
    <w:p w14:paraId="5E18AE56" w14:textId="77777777" w:rsidR="0026097E" w:rsidRDefault="00284695">
      <w:pPr>
        <w:numPr>
          <w:ilvl w:val="0"/>
          <w:numId w:val="12"/>
        </w:numPr>
        <w:spacing w:after="13" w:line="257" w:lineRule="auto"/>
        <w:ind w:hanging="452"/>
      </w:pPr>
      <w:r>
        <w:rPr>
          <w:sz w:val="17"/>
        </w:rPr>
        <w:t>Sussman, R. G., et al., “Identifying and assessing highly hazardous drugs within quality risk management programs</w:t>
      </w:r>
      <w:proofErr w:type="gramStart"/>
      <w:r>
        <w:rPr>
          <w:sz w:val="17"/>
        </w:rPr>
        <w:t>, ”</w:t>
      </w:r>
      <w:proofErr w:type="gramEnd"/>
      <w:r>
        <w:rPr>
          <w:sz w:val="17"/>
        </w:rPr>
        <w:t xml:space="preserve">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79, Suppl 1, 2016, pp. S11-S18.</w:t>
      </w:r>
    </w:p>
    <w:p w14:paraId="73E50AC1" w14:textId="77777777" w:rsidR="0026097E" w:rsidRDefault="00284695">
      <w:pPr>
        <w:numPr>
          <w:ilvl w:val="0"/>
          <w:numId w:val="12"/>
        </w:numPr>
        <w:spacing w:after="13" w:line="257" w:lineRule="auto"/>
        <w:ind w:hanging="452"/>
      </w:pPr>
      <w:r>
        <w:rPr>
          <w:sz w:val="17"/>
        </w:rPr>
        <w:t xml:space="preserve">Winkler, G. C., et al., “Functional differentiation of cytotoxic cancer drugs and targeted cancer therapeutics,” </w:t>
      </w:r>
      <w:proofErr w:type="spellStart"/>
      <w:r>
        <w:rPr>
          <w:sz w:val="17"/>
        </w:rPr>
        <w:t>Regul</w:t>
      </w:r>
      <w:proofErr w:type="spellEnd"/>
      <w:r>
        <w:rPr>
          <w:sz w:val="17"/>
        </w:rPr>
        <w:t xml:space="preserve"> </w:t>
      </w:r>
      <w:proofErr w:type="spellStart"/>
      <w:r>
        <w:rPr>
          <w:sz w:val="17"/>
        </w:rPr>
        <w:t>Toxicol</w:t>
      </w:r>
      <w:proofErr w:type="spellEnd"/>
      <w:r>
        <w:rPr>
          <w:sz w:val="17"/>
        </w:rPr>
        <w:t xml:space="preserve"> </w:t>
      </w:r>
      <w:proofErr w:type="spellStart"/>
      <w:r>
        <w:rPr>
          <w:sz w:val="17"/>
        </w:rPr>
        <w:t>Pharmacol</w:t>
      </w:r>
      <w:proofErr w:type="spellEnd"/>
      <w:r>
        <w:rPr>
          <w:sz w:val="17"/>
        </w:rPr>
        <w:t>, Vol 70, No. 1, 2014, pp. 46-53.</w:t>
      </w:r>
    </w:p>
    <w:p w14:paraId="34DA956F" w14:textId="77777777" w:rsidR="0026097E" w:rsidRDefault="00284695">
      <w:pPr>
        <w:numPr>
          <w:ilvl w:val="0"/>
          <w:numId w:val="12"/>
        </w:numPr>
        <w:spacing w:after="13" w:line="257" w:lineRule="auto"/>
        <w:ind w:hanging="452"/>
      </w:pPr>
      <w:proofErr w:type="spellStart"/>
      <w:r>
        <w:rPr>
          <w:sz w:val="17"/>
        </w:rPr>
        <w:t>Liebelt</w:t>
      </w:r>
      <w:proofErr w:type="spellEnd"/>
      <w:r>
        <w:rPr>
          <w:sz w:val="17"/>
        </w:rPr>
        <w:t xml:space="preserve">, E. L. and Shannon, M. W., “Small doses, big problems: a selected review of highly toxic common medications,” </w:t>
      </w:r>
      <w:proofErr w:type="spellStart"/>
      <w:r>
        <w:rPr>
          <w:sz w:val="17"/>
        </w:rPr>
        <w:t>Pediatr</w:t>
      </w:r>
      <w:proofErr w:type="spellEnd"/>
      <w:r>
        <w:rPr>
          <w:sz w:val="17"/>
        </w:rPr>
        <w:t xml:space="preserve"> </w:t>
      </w:r>
      <w:proofErr w:type="spellStart"/>
      <w:r>
        <w:rPr>
          <w:sz w:val="17"/>
        </w:rPr>
        <w:t>Emerg</w:t>
      </w:r>
      <w:proofErr w:type="spellEnd"/>
      <w:r>
        <w:rPr>
          <w:sz w:val="17"/>
        </w:rPr>
        <w:t xml:space="preserve"> Care, Vol 9, No. 5, 1993, pp. 292-297.</w:t>
      </w:r>
    </w:p>
    <w:p w14:paraId="40A39EF6" w14:textId="77777777" w:rsidR="0026097E" w:rsidRDefault="00284695">
      <w:pPr>
        <w:numPr>
          <w:ilvl w:val="0"/>
          <w:numId w:val="12"/>
        </w:numPr>
        <w:spacing w:after="13" w:line="257" w:lineRule="auto"/>
        <w:ind w:hanging="452"/>
      </w:pPr>
      <w:r>
        <w:rPr>
          <w:sz w:val="17"/>
        </w:rPr>
        <w:t xml:space="preserve">Schmid, B., “The safety assessment of over-the-counter (OTC) products,” Arch </w:t>
      </w:r>
      <w:proofErr w:type="spellStart"/>
      <w:r>
        <w:rPr>
          <w:sz w:val="17"/>
        </w:rPr>
        <w:t>Toxicol</w:t>
      </w:r>
      <w:proofErr w:type="spellEnd"/>
      <w:r>
        <w:rPr>
          <w:sz w:val="17"/>
        </w:rPr>
        <w:t xml:space="preserve"> Suppl, Vol 17, 1995, pp. 305-311.</w:t>
      </w:r>
    </w:p>
    <w:p w14:paraId="601622D3" w14:textId="77777777" w:rsidR="0026097E" w:rsidRDefault="00284695">
      <w:pPr>
        <w:numPr>
          <w:ilvl w:val="0"/>
          <w:numId w:val="12"/>
        </w:numPr>
        <w:spacing w:after="13" w:line="257" w:lineRule="auto"/>
        <w:ind w:hanging="452"/>
      </w:pPr>
      <w:r>
        <w:rPr>
          <w:sz w:val="17"/>
        </w:rPr>
        <w:t>U. S. Food and Drug Administration, Guide to Inspections Validation of Cleaning Processes, 1993.</w:t>
      </w:r>
    </w:p>
    <w:p w14:paraId="4C42E23A" w14:textId="77777777" w:rsidR="0026097E" w:rsidRDefault="00284695">
      <w:pPr>
        <w:numPr>
          <w:ilvl w:val="0"/>
          <w:numId w:val="12"/>
        </w:numPr>
        <w:spacing w:after="13" w:line="257" w:lineRule="auto"/>
        <w:ind w:hanging="452"/>
      </w:pPr>
      <w:r>
        <w:rPr>
          <w:sz w:val="17"/>
        </w:rPr>
        <w:t>Walsh, A., et al., “Cleaning validation for the 21st century: Acceptance limits for cleaning agents,” Pharmaceutical Engineering, Vol 33, No. 6, 2013, pp. 1-11.</w:t>
      </w:r>
    </w:p>
    <w:p w14:paraId="3CEDA24A" w14:textId="77777777" w:rsidR="0026097E" w:rsidRDefault="00284695">
      <w:pPr>
        <w:numPr>
          <w:ilvl w:val="0"/>
          <w:numId w:val="12"/>
        </w:numPr>
        <w:spacing w:after="13" w:line="257" w:lineRule="auto"/>
        <w:ind w:hanging="452"/>
      </w:pPr>
      <w:r>
        <w:rPr>
          <w:sz w:val="17"/>
        </w:rPr>
        <w:t>Recognized Consensus Standard database record for ISO 10993-17 First edition 2002-12-01, Biological evaluation of medical devices - Part 17: Establishment of allowable limits for leachable substances. Part B: Supplementary Information Sheet (SIS), U.S. Department of Health and Human Services, Food and Drug Administration, Center for Devices and Radiological Health (CDRH), Silver Spring, MD, 2016.</w:t>
      </w:r>
    </w:p>
    <w:p w14:paraId="0377B4D9" w14:textId="77777777" w:rsidR="0026097E" w:rsidRDefault="00284695">
      <w:pPr>
        <w:numPr>
          <w:ilvl w:val="0"/>
          <w:numId w:val="12"/>
        </w:numPr>
        <w:spacing w:after="13" w:line="257" w:lineRule="auto"/>
        <w:ind w:hanging="452"/>
      </w:pPr>
      <w:r>
        <w:rPr>
          <w:sz w:val="17"/>
        </w:rPr>
        <w:t>Guideline for Disinfection and Sterilization in Healthcare Facilities, 2008 (last update: February 15, 2017), U.S. Department of Health and Human Services, Public Health Service, Centers for Disease Control and Prevention, US Government Printing Office, Washington, DC, 2008, p. 161.</w:t>
      </w:r>
    </w:p>
    <w:p w14:paraId="226192A5" w14:textId="77777777" w:rsidR="0026097E" w:rsidRDefault="00284695">
      <w:pPr>
        <w:numPr>
          <w:ilvl w:val="0"/>
          <w:numId w:val="12"/>
        </w:numPr>
        <w:spacing w:after="13" w:line="257" w:lineRule="auto"/>
        <w:ind w:hanging="452"/>
      </w:pPr>
      <w:r>
        <w:rPr>
          <w:sz w:val="17"/>
        </w:rPr>
        <w:lastRenderedPageBreak/>
        <w:t>Decontamination and Reprocessing of Medical Devices for Healthcare Facilities, World Health Organization and Pan American Health Organization, Geneva, Switzerland, 2016, 120 pp.</w:t>
      </w:r>
    </w:p>
    <w:p w14:paraId="1443850F" w14:textId="77777777" w:rsidR="0026097E" w:rsidRDefault="00284695">
      <w:pPr>
        <w:numPr>
          <w:ilvl w:val="0"/>
          <w:numId w:val="12"/>
        </w:numPr>
        <w:spacing w:after="13" w:line="257" w:lineRule="auto"/>
        <w:ind w:hanging="452"/>
      </w:pPr>
      <w:r>
        <w:rPr>
          <w:sz w:val="17"/>
        </w:rPr>
        <w:t xml:space="preserve">Nissen, S. E., et al., “Cardiovascular Safety of Celecoxib, Naproxen, or Ibuprofen for Arthritis,” N </w:t>
      </w:r>
      <w:proofErr w:type="spellStart"/>
      <w:r>
        <w:rPr>
          <w:sz w:val="17"/>
        </w:rPr>
        <w:t>Engl</w:t>
      </w:r>
      <w:proofErr w:type="spellEnd"/>
      <w:r>
        <w:rPr>
          <w:sz w:val="17"/>
        </w:rPr>
        <w:t xml:space="preserve"> J Med, Vol 375, No. 26, 2016, pp. 2519-2529.</w:t>
      </w:r>
    </w:p>
    <w:p w14:paraId="7D543E01" w14:textId="77777777" w:rsidR="0026097E" w:rsidRDefault="00284695">
      <w:pPr>
        <w:numPr>
          <w:ilvl w:val="0"/>
          <w:numId w:val="12"/>
        </w:numPr>
        <w:spacing w:after="13" w:line="257" w:lineRule="auto"/>
        <w:ind w:hanging="452"/>
      </w:pPr>
      <w:r>
        <w:rPr>
          <w:sz w:val="17"/>
        </w:rPr>
        <w:t>Prescribing Information for Motrin® Ibuprofen Tablets, USP (revised 20 Jan. 2007), Pfizer Inc., 2007, https://</w:t>
      </w:r>
    </w:p>
    <w:p w14:paraId="23DB96FD" w14:textId="77777777" w:rsidR="0026097E" w:rsidRDefault="00284695">
      <w:pPr>
        <w:spacing w:after="13" w:line="257" w:lineRule="auto"/>
        <w:ind w:left="452" w:firstLine="0"/>
      </w:pPr>
      <w:r>
        <w:rPr>
          <w:sz w:val="17"/>
        </w:rPr>
        <w:t>www.accessdata.fda.gov/drugsatfda_docs/label/2007/ 017463s105lbl.pdf.</w:t>
      </w:r>
    </w:p>
    <w:p w14:paraId="3A3C2DAB" w14:textId="77777777" w:rsidR="0026097E" w:rsidRDefault="00284695">
      <w:pPr>
        <w:numPr>
          <w:ilvl w:val="0"/>
          <w:numId w:val="12"/>
        </w:numPr>
        <w:spacing w:after="13" w:line="257" w:lineRule="auto"/>
        <w:ind w:hanging="452"/>
      </w:pPr>
      <w:proofErr w:type="spellStart"/>
      <w:r>
        <w:rPr>
          <w:sz w:val="17"/>
        </w:rPr>
        <w:t>Philipose</w:t>
      </w:r>
      <w:proofErr w:type="spellEnd"/>
      <w:r>
        <w:rPr>
          <w:sz w:val="17"/>
        </w:rPr>
        <w:t xml:space="preserve">, B., et al., “Comparative mutagenic and genotoxic effects of three propionic acid derivatives ibuprofen, ketoprofen and naproxen,” </w:t>
      </w:r>
      <w:proofErr w:type="spellStart"/>
      <w:r>
        <w:rPr>
          <w:sz w:val="17"/>
        </w:rPr>
        <w:t>Mutat</w:t>
      </w:r>
      <w:proofErr w:type="spellEnd"/>
      <w:r>
        <w:rPr>
          <w:sz w:val="17"/>
        </w:rPr>
        <w:t xml:space="preserve"> Res, Vol 393, Nos. 1-2, 1997, pp. 123-131.</w:t>
      </w:r>
    </w:p>
    <w:p w14:paraId="31B0D715" w14:textId="77777777" w:rsidR="0026097E" w:rsidRDefault="00284695">
      <w:pPr>
        <w:numPr>
          <w:ilvl w:val="0"/>
          <w:numId w:val="12"/>
        </w:numPr>
        <w:spacing w:after="13" w:line="257" w:lineRule="auto"/>
        <w:ind w:hanging="452"/>
      </w:pPr>
      <w:r>
        <w:rPr>
          <w:sz w:val="17"/>
        </w:rPr>
        <w:t xml:space="preserve">Oldham, J. W., Preston, R. F., and Paulson, J. D., “Mutagenicity testing of selected analgesics in Ames Salmonella strains,” J Appl </w:t>
      </w:r>
      <w:proofErr w:type="spellStart"/>
      <w:r>
        <w:rPr>
          <w:sz w:val="17"/>
        </w:rPr>
        <w:t>Toxicol</w:t>
      </w:r>
      <w:proofErr w:type="spellEnd"/>
      <w:r>
        <w:rPr>
          <w:sz w:val="17"/>
        </w:rPr>
        <w:t>, Vol 6, No. 4 1986, pp. 237-243.</w:t>
      </w:r>
    </w:p>
    <w:p w14:paraId="683811ED" w14:textId="77777777" w:rsidR="0026097E" w:rsidRDefault="00284695">
      <w:pPr>
        <w:numPr>
          <w:ilvl w:val="0"/>
          <w:numId w:val="12"/>
        </w:numPr>
        <w:spacing w:after="13" w:line="257" w:lineRule="auto"/>
        <w:ind w:hanging="452"/>
      </w:pPr>
      <w:proofErr w:type="spellStart"/>
      <w:r>
        <w:rPr>
          <w:sz w:val="17"/>
        </w:rPr>
        <w:t>Kullich</w:t>
      </w:r>
      <w:proofErr w:type="spellEnd"/>
      <w:r>
        <w:rPr>
          <w:sz w:val="17"/>
        </w:rPr>
        <w:t xml:space="preserve">, W. and Klein, G., “Investigations of the influence of nonsteroidal antirheumatic drugs on the rates of sister-chromatid exchange,” </w:t>
      </w:r>
      <w:proofErr w:type="spellStart"/>
      <w:r>
        <w:rPr>
          <w:sz w:val="17"/>
        </w:rPr>
        <w:t>Mutat</w:t>
      </w:r>
      <w:proofErr w:type="spellEnd"/>
      <w:r>
        <w:rPr>
          <w:sz w:val="17"/>
        </w:rPr>
        <w:t xml:space="preserve"> Res, Vol 174, No. 2, 1986, p. 131-134.</w:t>
      </w:r>
    </w:p>
    <w:p w14:paraId="4A148E02" w14:textId="77777777" w:rsidR="0026097E" w:rsidRDefault="00284695">
      <w:pPr>
        <w:numPr>
          <w:ilvl w:val="0"/>
          <w:numId w:val="12"/>
        </w:numPr>
        <w:spacing w:after="13" w:line="257" w:lineRule="auto"/>
        <w:ind w:hanging="452"/>
      </w:pPr>
      <w:r>
        <w:rPr>
          <w:sz w:val="17"/>
        </w:rPr>
        <w:t xml:space="preserve">Tripathi, R., Pancholi, S. S., and Tripathi, P., “Genotoxicity of ibuprofen in mouse bone marrow cells in vivo,” Drug Chem </w:t>
      </w:r>
      <w:proofErr w:type="spellStart"/>
      <w:r>
        <w:rPr>
          <w:sz w:val="17"/>
        </w:rPr>
        <w:t>Toxicol</w:t>
      </w:r>
      <w:proofErr w:type="spellEnd"/>
      <w:r>
        <w:rPr>
          <w:sz w:val="17"/>
        </w:rPr>
        <w:t>, Vol 35, No. 4, 2012, pp. 389-392.</w:t>
      </w:r>
    </w:p>
    <w:p w14:paraId="1198C58F" w14:textId="77777777" w:rsidR="0026097E" w:rsidRDefault="00284695">
      <w:pPr>
        <w:numPr>
          <w:ilvl w:val="0"/>
          <w:numId w:val="12"/>
        </w:numPr>
        <w:spacing w:after="13" w:line="257" w:lineRule="auto"/>
        <w:ind w:hanging="452"/>
      </w:pPr>
      <w:r>
        <w:rPr>
          <w:sz w:val="17"/>
        </w:rPr>
        <w:t>REACH registration dossier for: Ibuprofen (online), ECHA, 2019.</w:t>
      </w:r>
    </w:p>
    <w:p w14:paraId="2CDFC8D4" w14:textId="77777777" w:rsidR="0026097E" w:rsidRDefault="00284695">
      <w:pPr>
        <w:numPr>
          <w:ilvl w:val="0"/>
          <w:numId w:val="12"/>
        </w:numPr>
        <w:spacing w:after="13" w:line="257" w:lineRule="auto"/>
        <w:ind w:hanging="452"/>
      </w:pPr>
      <w:proofErr w:type="spellStart"/>
      <w:r>
        <w:rPr>
          <w:sz w:val="17"/>
        </w:rPr>
        <w:t>Gurpinar</w:t>
      </w:r>
      <w:proofErr w:type="spellEnd"/>
      <w:r>
        <w:rPr>
          <w:sz w:val="17"/>
        </w:rPr>
        <w:t xml:space="preserve">, E., Grizzle, W. E., and Piazza, G. A., “NSAIDs inhibit tumorigenesis, but </w:t>
      </w:r>
      <w:proofErr w:type="gramStart"/>
      <w:r>
        <w:rPr>
          <w:sz w:val="17"/>
        </w:rPr>
        <w:t>how?,</w:t>
      </w:r>
      <w:proofErr w:type="gramEnd"/>
      <w:r>
        <w:rPr>
          <w:sz w:val="17"/>
        </w:rPr>
        <w:t>” Clin Cancer Res, Vol 20, No. 5, 2014, pp. 1104-1113.</w:t>
      </w:r>
    </w:p>
    <w:p w14:paraId="20284A9A" w14:textId="77777777" w:rsidR="0026097E" w:rsidRDefault="00284695">
      <w:pPr>
        <w:numPr>
          <w:ilvl w:val="0"/>
          <w:numId w:val="12"/>
        </w:numPr>
        <w:spacing w:after="13" w:line="257" w:lineRule="auto"/>
        <w:ind w:hanging="452"/>
      </w:pPr>
      <w:r>
        <w:rPr>
          <w:sz w:val="17"/>
        </w:rPr>
        <w:t>Nielsen, G. L., et al., “Risk of adverse birth outcome and miscarriage in pregnant users of non-steroidal anti-inflammatory drugs: population based observational study and case-control study,” BMJ, Vol 322, No. 7281, 2001, pp. 266-270.</w:t>
      </w:r>
    </w:p>
    <w:p w14:paraId="44C2CAC4" w14:textId="77777777" w:rsidR="0026097E" w:rsidRDefault="00284695">
      <w:pPr>
        <w:numPr>
          <w:ilvl w:val="0"/>
          <w:numId w:val="12"/>
        </w:numPr>
        <w:spacing w:after="13" w:line="257" w:lineRule="auto"/>
        <w:ind w:hanging="452"/>
      </w:pPr>
      <w:r>
        <w:rPr>
          <w:sz w:val="17"/>
        </w:rPr>
        <w:t xml:space="preserve">Rainsford, K. D., “Ibuprofen: pharmacology, efficacy and safety,” </w:t>
      </w:r>
      <w:proofErr w:type="spellStart"/>
      <w:r>
        <w:rPr>
          <w:sz w:val="17"/>
        </w:rPr>
        <w:t>Inflammopharmacology</w:t>
      </w:r>
      <w:proofErr w:type="spellEnd"/>
      <w:r>
        <w:rPr>
          <w:sz w:val="17"/>
        </w:rPr>
        <w:t>, Vol 17, No. 6, 2009, pp. 275-342.</w:t>
      </w:r>
    </w:p>
    <w:p w14:paraId="7FE98C5A" w14:textId="77777777" w:rsidR="0026097E" w:rsidRDefault="00284695">
      <w:pPr>
        <w:numPr>
          <w:ilvl w:val="0"/>
          <w:numId w:val="12"/>
        </w:numPr>
        <w:spacing w:after="13" w:line="257" w:lineRule="auto"/>
        <w:ind w:hanging="452"/>
      </w:pPr>
      <w:r>
        <w:rPr>
          <w:sz w:val="17"/>
        </w:rPr>
        <w:t xml:space="preserve">Davies, N. M., “Clinical pharmacokinetics of ibuprofen. The first 30 years,” Clin </w:t>
      </w:r>
      <w:proofErr w:type="spellStart"/>
      <w:r>
        <w:rPr>
          <w:sz w:val="17"/>
        </w:rPr>
        <w:t>Pharmacokinet</w:t>
      </w:r>
      <w:proofErr w:type="spellEnd"/>
      <w:r>
        <w:rPr>
          <w:sz w:val="17"/>
        </w:rPr>
        <w:t>, Vol 34, No. 2, 1998, pp. 101-154.</w:t>
      </w:r>
    </w:p>
    <w:p w14:paraId="3DBA6004" w14:textId="77777777" w:rsidR="0026097E" w:rsidRDefault="00284695">
      <w:pPr>
        <w:numPr>
          <w:ilvl w:val="0"/>
          <w:numId w:val="12"/>
        </w:numPr>
        <w:spacing w:after="13" w:line="257" w:lineRule="auto"/>
        <w:ind w:hanging="452"/>
      </w:pPr>
      <w:r>
        <w:rPr>
          <w:sz w:val="17"/>
        </w:rPr>
        <w:t>MOTRIN Dosing Charts for Children &amp; Infants, Johnson &amp; Johnson Consumer Inc., 2016, https://www.motrin.com/childreninfants/dosing-charts#infants-motrin-suspension-drops-50-mg-125ml.</w:t>
      </w:r>
    </w:p>
    <w:p w14:paraId="32025517" w14:textId="77777777" w:rsidR="0026097E" w:rsidRDefault="00284695">
      <w:pPr>
        <w:numPr>
          <w:ilvl w:val="0"/>
          <w:numId w:val="12"/>
        </w:numPr>
        <w:spacing w:after="13" w:line="257" w:lineRule="auto"/>
        <w:ind w:hanging="452"/>
      </w:pPr>
      <w:proofErr w:type="spellStart"/>
      <w:r>
        <w:rPr>
          <w:sz w:val="17"/>
        </w:rPr>
        <w:t>Skowronski</w:t>
      </w:r>
      <w:proofErr w:type="spellEnd"/>
      <w:r>
        <w:rPr>
          <w:sz w:val="17"/>
        </w:rPr>
        <w:t xml:space="preserve">, G. A. and Abdel-Rahman, M. S., “Relevance of the 10X Uncertainty Factor to the Risk Assessment of Drugs Used by Children and Geriatrics,” Human </w:t>
      </w:r>
      <w:proofErr w:type="spellStart"/>
      <w:r>
        <w:rPr>
          <w:sz w:val="17"/>
        </w:rPr>
        <w:t>Ecol</w:t>
      </w:r>
      <w:proofErr w:type="spellEnd"/>
      <w:r>
        <w:rPr>
          <w:sz w:val="17"/>
        </w:rPr>
        <w:t xml:space="preserve"> Risk Assess, Vol 7, No. 1, 2001, pp. 139-152.</w:t>
      </w:r>
    </w:p>
    <w:p w14:paraId="1E8732D1" w14:textId="77777777" w:rsidR="0026097E" w:rsidRDefault="00284695">
      <w:pPr>
        <w:numPr>
          <w:ilvl w:val="0"/>
          <w:numId w:val="12"/>
        </w:numPr>
        <w:spacing w:after="13" w:line="257" w:lineRule="auto"/>
        <w:ind w:hanging="452"/>
      </w:pPr>
      <w:r>
        <w:rPr>
          <w:sz w:val="17"/>
        </w:rPr>
        <w:t xml:space="preserve">Norwood, D. L., et al., “Best practices for extractables and </w:t>
      </w:r>
      <w:proofErr w:type="spellStart"/>
      <w:r>
        <w:rPr>
          <w:sz w:val="17"/>
        </w:rPr>
        <w:t>leachables</w:t>
      </w:r>
      <w:proofErr w:type="spellEnd"/>
      <w:r>
        <w:rPr>
          <w:sz w:val="17"/>
        </w:rPr>
        <w:t xml:space="preserve"> in orally inhaled and nasal drug products: an overview of the PQRI recommendations,” Pharm Res, Vol 25, No. 4, 2008, pp. 727-739.</w:t>
      </w:r>
    </w:p>
    <w:p w14:paraId="43B53F23" w14:textId="77777777" w:rsidR="0026097E" w:rsidRDefault="00284695">
      <w:pPr>
        <w:numPr>
          <w:ilvl w:val="0"/>
          <w:numId w:val="12"/>
        </w:numPr>
        <w:spacing w:after="13" w:line="257" w:lineRule="auto"/>
        <w:ind w:hanging="452"/>
      </w:pPr>
      <w:proofErr w:type="spellStart"/>
      <w:r>
        <w:rPr>
          <w:sz w:val="17"/>
        </w:rPr>
        <w:t>Paskiet</w:t>
      </w:r>
      <w:proofErr w:type="spellEnd"/>
      <w:r>
        <w:rPr>
          <w:sz w:val="17"/>
        </w:rPr>
        <w:t xml:space="preserve">, D., et al., “The Product Quality Research Institute (PQRI) </w:t>
      </w:r>
      <w:proofErr w:type="spellStart"/>
      <w:r>
        <w:rPr>
          <w:sz w:val="17"/>
        </w:rPr>
        <w:t>Leachables</w:t>
      </w:r>
      <w:proofErr w:type="spellEnd"/>
      <w:r>
        <w:rPr>
          <w:sz w:val="17"/>
        </w:rPr>
        <w:t xml:space="preserve"> and Extractables Working Group Initiatives for Parenteral and Ophthalmic Drug Product (PODP),” PDA J Pharm Sci Technol, Vol 67, No. 5, 2013, pp. 430-447.</w:t>
      </w:r>
    </w:p>
    <w:bookmarkEnd w:id="1"/>
    <w:p w14:paraId="1B43F8EF" w14:textId="77777777" w:rsidR="0026097E" w:rsidRDefault="0026097E">
      <w:pPr>
        <w:sectPr w:rsidR="0026097E">
          <w:type w:val="continuous"/>
          <w:pgSz w:w="11674" w:h="15625"/>
          <w:pgMar w:top="1193" w:right="628" w:bottom="981" w:left="629" w:header="720" w:footer="720" w:gutter="0"/>
          <w:cols w:num="2" w:space="358"/>
        </w:sectPr>
      </w:pPr>
    </w:p>
    <w:bookmarkEnd w:id="0"/>
    <w:p w14:paraId="32907CB4" w14:textId="77777777" w:rsidR="00022A88" w:rsidRPr="00EC1A52" w:rsidRDefault="00022A88" w:rsidP="00022A88">
      <w:pPr>
        <w:spacing w:after="235" w:line="262" w:lineRule="auto"/>
        <w:ind w:left="-1276" w:firstLine="0"/>
        <w:rPr>
          <w:rFonts w:ascii="Arial" w:eastAsia="Arial" w:hAnsi="Arial" w:cs="Arial"/>
          <w:iCs/>
          <w:sz w:val="16"/>
          <w:szCs w:val="16"/>
        </w:rPr>
      </w:pPr>
      <w:r w:rsidRPr="00EC1A52">
        <w:rPr>
          <w:rFonts w:ascii="Arial" w:eastAsia="Arial" w:hAnsi="Arial" w:cs="Arial"/>
          <w:iCs/>
          <w:sz w:val="16"/>
          <w:szCs w:val="16"/>
        </w:rPr>
        <w:t>ASTM International</w:t>
      </w:r>
      <w:r w:rsidRPr="00EC1A52">
        <w:rPr>
          <w:rFonts w:ascii="宋体" w:eastAsia="宋体" w:hAnsi="宋体" w:cs="宋体" w:hint="eastAsia"/>
          <w:iCs/>
          <w:sz w:val="16"/>
          <w:szCs w:val="16"/>
        </w:rPr>
        <w:t>对本标准中提及的任何项目所主张的任何专利权的有效性不持任何立场。明确建议该标准的使用者，确定任何此类专利权的有效性以及侵犯此类权利的风险完全由他们自己承担。</w:t>
      </w:r>
    </w:p>
    <w:p w14:paraId="6C0CE406" w14:textId="77777777" w:rsidR="00022A88" w:rsidRPr="00EC1A52" w:rsidRDefault="00022A88" w:rsidP="00022A88">
      <w:pPr>
        <w:spacing w:after="235" w:line="262" w:lineRule="auto"/>
        <w:ind w:left="-1276" w:firstLine="0"/>
        <w:rPr>
          <w:rFonts w:ascii="Arial" w:eastAsia="Arial" w:hAnsi="Arial" w:cs="Arial"/>
          <w:iCs/>
          <w:sz w:val="16"/>
          <w:szCs w:val="16"/>
        </w:rPr>
      </w:pPr>
      <w:r w:rsidRPr="00EC1A52">
        <w:rPr>
          <w:rFonts w:ascii="宋体" w:eastAsia="宋体" w:hAnsi="宋体" w:cs="宋体" w:hint="eastAsia"/>
          <w:iCs/>
          <w:sz w:val="16"/>
          <w:szCs w:val="16"/>
        </w:rPr>
        <w:t>该标准由负责的技术委员会随时修订，必须每五年进行一次审核，如果未经修订，则应重新批准或撤消。欢迎您提出意见，以修订本标准或提出其他标准，并发送给</w:t>
      </w:r>
      <w:r w:rsidRPr="00EC1A52">
        <w:rPr>
          <w:rFonts w:ascii="Arial" w:eastAsia="Arial" w:hAnsi="Arial" w:cs="Arial"/>
          <w:iCs/>
          <w:sz w:val="16"/>
          <w:szCs w:val="16"/>
        </w:rPr>
        <w:t>ASTM</w:t>
      </w:r>
      <w:r w:rsidRPr="00EC1A52">
        <w:rPr>
          <w:rFonts w:ascii="宋体" w:eastAsia="宋体" w:hAnsi="宋体" w:cs="宋体" w:hint="eastAsia"/>
          <w:iCs/>
          <w:sz w:val="16"/>
          <w:szCs w:val="16"/>
        </w:rPr>
        <w:t>国际总部。您的意见将在您可能参加的负责的技术委员会的会议上得到认真的考虑。如果您认为自己的评论没有得到公正的听证，则应在下面显示的地址向</w:t>
      </w:r>
      <w:r w:rsidRPr="00EC1A52">
        <w:rPr>
          <w:rFonts w:ascii="Arial" w:eastAsia="Arial" w:hAnsi="Arial" w:cs="Arial"/>
          <w:iCs/>
          <w:sz w:val="16"/>
          <w:szCs w:val="16"/>
        </w:rPr>
        <w:t>ASTM</w:t>
      </w:r>
      <w:r w:rsidRPr="00EC1A52">
        <w:rPr>
          <w:rFonts w:ascii="宋体" w:eastAsia="宋体" w:hAnsi="宋体" w:cs="宋体" w:hint="eastAsia"/>
          <w:iCs/>
          <w:sz w:val="16"/>
          <w:szCs w:val="16"/>
        </w:rPr>
        <w:t>标准委员会表达您的观点。</w:t>
      </w:r>
    </w:p>
    <w:p w14:paraId="4594A3D4" w14:textId="77777777" w:rsidR="00022A88" w:rsidRPr="00EC1A52" w:rsidRDefault="00022A88" w:rsidP="00022A88">
      <w:pPr>
        <w:spacing w:after="235" w:line="262" w:lineRule="auto"/>
        <w:ind w:left="-1276" w:firstLine="0"/>
        <w:rPr>
          <w:rFonts w:ascii="Arial" w:eastAsia="Arial" w:hAnsi="Arial" w:cs="Arial"/>
          <w:iCs/>
          <w:sz w:val="16"/>
          <w:szCs w:val="16"/>
        </w:rPr>
      </w:pPr>
      <w:r w:rsidRPr="00EC1A52">
        <w:rPr>
          <w:rFonts w:ascii="宋体" w:eastAsia="宋体" w:hAnsi="宋体" w:cs="宋体" w:hint="eastAsia"/>
          <w:iCs/>
          <w:sz w:val="16"/>
          <w:szCs w:val="16"/>
        </w:rPr>
        <w:t>本标准的版权归美国</w:t>
      </w:r>
      <w:r w:rsidRPr="00EC1A52">
        <w:rPr>
          <w:rFonts w:ascii="Arial" w:eastAsia="Arial" w:hAnsi="Arial" w:cs="Arial"/>
          <w:iCs/>
          <w:sz w:val="16"/>
          <w:szCs w:val="16"/>
        </w:rPr>
        <w:t>ASTM International</w:t>
      </w:r>
      <w:r w:rsidRPr="00EC1A52">
        <w:rPr>
          <w:rFonts w:ascii="宋体" w:eastAsia="宋体" w:hAnsi="宋体" w:cs="宋体" w:hint="eastAsia"/>
          <w:iCs/>
          <w:sz w:val="16"/>
          <w:szCs w:val="16"/>
        </w:rPr>
        <w:t>所有，美国</w:t>
      </w:r>
      <w:proofErr w:type="gramStart"/>
      <w:r w:rsidRPr="00EC1A52">
        <w:rPr>
          <w:rFonts w:ascii="宋体" w:eastAsia="宋体" w:hAnsi="宋体" w:cs="宋体" w:hint="eastAsia"/>
          <w:iCs/>
          <w:sz w:val="16"/>
          <w:szCs w:val="16"/>
        </w:rPr>
        <w:t>宾夕法尼亚州西孔肖霍肯市</w:t>
      </w:r>
      <w:proofErr w:type="gramEnd"/>
      <w:r w:rsidRPr="00EC1A52">
        <w:rPr>
          <w:rFonts w:ascii="宋体" w:eastAsia="宋体" w:hAnsi="宋体" w:cs="宋体" w:hint="eastAsia"/>
          <w:iCs/>
          <w:sz w:val="16"/>
          <w:szCs w:val="16"/>
        </w:rPr>
        <w:t>邮政信箱</w:t>
      </w:r>
      <w:r w:rsidRPr="00EC1A52">
        <w:rPr>
          <w:rFonts w:ascii="Arial" w:eastAsia="Arial" w:hAnsi="Arial" w:cs="Arial"/>
          <w:iCs/>
          <w:sz w:val="16"/>
          <w:szCs w:val="16"/>
        </w:rPr>
        <w:t>C700</w:t>
      </w:r>
      <w:r w:rsidRPr="00EC1A52">
        <w:rPr>
          <w:rFonts w:ascii="宋体" w:eastAsia="宋体" w:hAnsi="宋体" w:cs="宋体" w:hint="eastAsia"/>
          <w:iCs/>
          <w:sz w:val="16"/>
          <w:szCs w:val="16"/>
        </w:rPr>
        <w:t>号</w:t>
      </w:r>
      <w:r w:rsidRPr="00EC1A52">
        <w:rPr>
          <w:rFonts w:ascii="Arial" w:eastAsia="Arial" w:hAnsi="Arial" w:cs="Arial"/>
          <w:iCs/>
          <w:sz w:val="16"/>
          <w:szCs w:val="16"/>
        </w:rPr>
        <w:t>Barr Harbor Drive 100</w:t>
      </w:r>
      <w:r w:rsidRPr="00EC1A52">
        <w:rPr>
          <w:rFonts w:ascii="宋体" w:eastAsia="宋体" w:hAnsi="宋体" w:cs="宋体" w:hint="eastAsia"/>
          <w:iCs/>
          <w:sz w:val="16"/>
          <w:szCs w:val="16"/>
        </w:rPr>
        <w:t>号，宾夕法尼亚州</w:t>
      </w:r>
      <w:r w:rsidRPr="00EC1A52">
        <w:rPr>
          <w:rFonts w:ascii="Arial" w:eastAsia="Arial" w:hAnsi="Arial" w:cs="Arial"/>
          <w:iCs/>
          <w:sz w:val="16"/>
          <w:szCs w:val="16"/>
        </w:rPr>
        <w:t>19428-2959</w:t>
      </w:r>
      <w:r w:rsidRPr="00EC1A52">
        <w:rPr>
          <w:rFonts w:ascii="宋体" w:eastAsia="宋体" w:hAnsi="宋体" w:cs="宋体" w:hint="eastAsia"/>
          <w:iCs/>
          <w:sz w:val="16"/>
          <w:szCs w:val="16"/>
        </w:rPr>
        <w:t>。可以通过上述地址或</w:t>
      </w:r>
      <w:r w:rsidRPr="00EC1A52">
        <w:rPr>
          <w:rFonts w:ascii="Arial" w:eastAsia="Arial" w:hAnsi="Arial" w:cs="Arial"/>
          <w:iCs/>
          <w:sz w:val="16"/>
          <w:szCs w:val="16"/>
        </w:rPr>
        <w:t>610-832-9585</w:t>
      </w:r>
      <w:r w:rsidRPr="00EC1A52">
        <w:rPr>
          <w:rFonts w:ascii="宋体" w:eastAsia="宋体" w:hAnsi="宋体" w:cs="宋体" w:hint="eastAsia"/>
          <w:iCs/>
          <w:sz w:val="16"/>
          <w:szCs w:val="16"/>
        </w:rPr>
        <w:t>（电话），</w:t>
      </w:r>
      <w:r w:rsidRPr="00EC1A52">
        <w:rPr>
          <w:rFonts w:ascii="Arial" w:eastAsia="Arial" w:hAnsi="Arial" w:cs="Arial"/>
          <w:iCs/>
          <w:sz w:val="16"/>
          <w:szCs w:val="16"/>
        </w:rPr>
        <w:t>610-832-9555</w:t>
      </w:r>
      <w:r w:rsidRPr="00EC1A52">
        <w:rPr>
          <w:rFonts w:ascii="宋体" w:eastAsia="宋体" w:hAnsi="宋体" w:cs="宋体" w:hint="eastAsia"/>
          <w:iCs/>
          <w:sz w:val="16"/>
          <w:szCs w:val="16"/>
        </w:rPr>
        <w:t>（传真）或</w:t>
      </w:r>
      <w:r w:rsidRPr="00EC1A52">
        <w:rPr>
          <w:rFonts w:ascii="Arial" w:eastAsia="Arial" w:hAnsi="Arial" w:cs="Arial"/>
          <w:iCs/>
          <w:sz w:val="16"/>
          <w:szCs w:val="16"/>
        </w:rPr>
        <w:t>service@astm.org</w:t>
      </w:r>
      <w:r w:rsidRPr="00EC1A52">
        <w:rPr>
          <w:rFonts w:ascii="宋体" w:eastAsia="宋体" w:hAnsi="宋体" w:cs="宋体" w:hint="eastAsia"/>
          <w:iCs/>
          <w:sz w:val="16"/>
          <w:szCs w:val="16"/>
        </w:rPr>
        <w:t>（</w:t>
      </w:r>
      <w:r w:rsidRPr="00EC1A52">
        <w:rPr>
          <w:rFonts w:ascii="Arial" w:eastAsia="Arial" w:hAnsi="Arial" w:cs="Arial"/>
          <w:iCs/>
          <w:sz w:val="16"/>
          <w:szCs w:val="16"/>
        </w:rPr>
        <w:t>e-</w:t>
      </w:r>
      <w:r w:rsidRPr="00EC1A52">
        <w:rPr>
          <w:rFonts w:ascii="宋体" w:eastAsia="宋体" w:hAnsi="宋体" w:cs="宋体" w:hint="eastAsia"/>
          <w:iCs/>
          <w:sz w:val="16"/>
          <w:szCs w:val="16"/>
        </w:rPr>
        <w:t>邮件）</w:t>
      </w:r>
      <w:r w:rsidRPr="00EC1A52">
        <w:rPr>
          <w:rFonts w:ascii="Arial" w:eastAsia="Arial" w:hAnsi="Arial" w:cs="Arial"/>
          <w:iCs/>
          <w:sz w:val="16"/>
          <w:szCs w:val="16"/>
        </w:rPr>
        <w:t>;</w:t>
      </w:r>
      <w:r w:rsidRPr="00EC1A52">
        <w:rPr>
          <w:rFonts w:ascii="宋体" w:eastAsia="宋体" w:hAnsi="宋体" w:cs="宋体" w:hint="eastAsia"/>
          <w:iCs/>
          <w:sz w:val="16"/>
          <w:szCs w:val="16"/>
        </w:rPr>
        <w:t>或通过</w:t>
      </w:r>
      <w:r w:rsidRPr="00EC1A52">
        <w:rPr>
          <w:rFonts w:ascii="Arial" w:eastAsia="Arial" w:hAnsi="Arial" w:cs="Arial"/>
          <w:iCs/>
          <w:sz w:val="16"/>
          <w:szCs w:val="16"/>
        </w:rPr>
        <w:t>ASTM</w:t>
      </w:r>
      <w:r w:rsidRPr="00EC1A52">
        <w:rPr>
          <w:rFonts w:ascii="宋体" w:eastAsia="宋体" w:hAnsi="宋体" w:cs="宋体" w:hint="eastAsia"/>
          <w:iCs/>
          <w:sz w:val="16"/>
          <w:szCs w:val="16"/>
        </w:rPr>
        <w:t>网站（</w:t>
      </w:r>
      <w:r w:rsidRPr="00EC1A52">
        <w:rPr>
          <w:rFonts w:ascii="Arial" w:eastAsia="Arial" w:hAnsi="Arial" w:cs="Arial"/>
          <w:iCs/>
          <w:sz w:val="16"/>
          <w:szCs w:val="16"/>
        </w:rPr>
        <w:t>www.astm.org</w:t>
      </w:r>
      <w:r w:rsidRPr="00EC1A52">
        <w:rPr>
          <w:rFonts w:ascii="宋体" w:eastAsia="宋体" w:hAnsi="宋体" w:cs="宋体" w:hint="eastAsia"/>
          <w:iCs/>
          <w:sz w:val="16"/>
          <w:szCs w:val="16"/>
        </w:rPr>
        <w:t>）。也可以从版权清除中心（</w:t>
      </w:r>
      <w:r w:rsidRPr="00EC1A52">
        <w:rPr>
          <w:rFonts w:ascii="Arial" w:eastAsia="Arial" w:hAnsi="Arial" w:cs="Arial"/>
          <w:iCs/>
          <w:sz w:val="16"/>
          <w:szCs w:val="16"/>
        </w:rPr>
        <w:t>222</w:t>
      </w:r>
      <w:r w:rsidRPr="00EC1A52">
        <w:rPr>
          <w:rFonts w:ascii="宋体" w:eastAsia="宋体" w:hAnsi="宋体" w:cs="宋体" w:hint="eastAsia"/>
          <w:iCs/>
          <w:sz w:val="16"/>
          <w:szCs w:val="16"/>
        </w:rPr>
        <w:t>）来获得标准副本的许可权。</w:t>
      </w:r>
    </w:p>
    <w:p w14:paraId="5DCD5DB6" w14:textId="725DDA59" w:rsidR="0026097E" w:rsidRPr="00EC1A52" w:rsidRDefault="00022A88" w:rsidP="00022A88">
      <w:pPr>
        <w:spacing w:after="235" w:line="262" w:lineRule="auto"/>
        <w:ind w:left="-1276" w:firstLine="0"/>
        <w:rPr>
          <w:iCs/>
          <w:sz w:val="16"/>
          <w:szCs w:val="16"/>
        </w:rPr>
      </w:pPr>
      <w:r w:rsidRPr="00EC1A52">
        <w:rPr>
          <w:rFonts w:ascii="宋体" w:eastAsia="宋体" w:hAnsi="宋体" w:cs="宋体" w:hint="eastAsia"/>
          <w:iCs/>
          <w:sz w:val="16"/>
          <w:szCs w:val="16"/>
        </w:rPr>
        <w:t>马萨诸塞州丹佛斯</w:t>
      </w:r>
      <w:r w:rsidRPr="00EC1A52">
        <w:rPr>
          <w:rFonts w:ascii="Arial" w:eastAsia="Arial" w:hAnsi="Arial" w:cs="Arial"/>
          <w:iCs/>
          <w:sz w:val="16"/>
          <w:szCs w:val="16"/>
        </w:rPr>
        <w:t>Rosewood Drive</w:t>
      </w:r>
      <w:r w:rsidRPr="00EC1A52">
        <w:rPr>
          <w:rFonts w:ascii="宋体" w:eastAsia="宋体" w:hAnsi="宋体" w:cs="宋体" w:hint="eastAsia"/>
          <w:iCs/>
          <w:sz w:val="16"/>
          <w:szCs w:val="16"/>
        </w:rPr>
        <w:t>，</w:t>
      </w:r>
      <w:r w:rsidRPr="00EC1A52">
        <w:rPr>
          <w:rFonts w:ascii="Arial" w:eastAsia="Arial" w:hAnsi="Arial" w:cs="Arial"/>
          <w:iCs/>
          <w:sz w:val="16"/>
          <w:szCs w:val="16"/>
        </w:rPr>
        <w:t>MA 01923</w:t>
      </w:r>
      <w:r w:rsidRPr="00EC1A52">
        <w:rPr>
          <w:rFonts w:ascii="宋体" w:eastAsia="宋体" w:hAnsi="宋体" w:cs="宋体" w:hint="eastAsia"/>
          <w:iCs/>
          <w:sz w:val="16"/>
          <w:szCs w:val="16"/>
        </w:rPr>
        <w:t>，电话：（</w:t>
      </w:r>
      <w:r w:rsidRPr="00EC1A52">
        <w:rPr>
          <w:rFonts w:ascii="Arial" w:eastAsia="Arial" w:hAnsi="Arial" w:cs="Arial"/>
          <w:iCs/>
          <w:sz w:val="16"/>
          <w:szCs w:val="16"/>
        </w:rPr>
        <w:t>978</w:t>
      </w:r>
      <w:r w:rsidRPr="00EC1A52">
        <w:rPr>
          <w:rFonts w:ascii="宋体" w:eastAsia="宋体" w:hAnsi="宋体" w:cs="宋体" w:hint="eastAsia"/>
          <w:iCs/>
          <w:sz w:val="16"/>
          <w:szCs w:val="16"/>
        </w:rPr>
        <w:t>）</w:t>
      </w:r>
      <w:r w:rsidRPr="00EC1A52">
        <w:rPr>
          <w:rFonts w:ascii="Arial" w:eastAsia="Arial" w:hAnsi="Arial" w:cs="Arial"/>
          <w:iCs/>
          <w:sz w:val="16"/>
          <w:szCs w:val="16"/>
        </w:rPr>
        <w:t>646-2600; http://www.copyright.com/</w:t>
      </w:r>
    </w:p>
    <w:sectPr w:rsidR="0026097E" w:rsidRPr="00EC1A52">
      <w:type w:val="continuous"/>
      <w:pgSz w:w="11674" w:h="15625"/>
      <w:pgMar w:top="1193" w:right="1761" w:bottom="5329" w:left="17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3DF63" w14:textId="77777777" w:rsidR="001227CF" w:rsidRDefault="001227CF">
      <w:pPr>
        <w:spacing w:after="0" w:line="240" w:lineRule="auto"/>
      </w:pPr>
      <w:r>
        <w:separator/>
      </w:r>
    </w:p>
  </w:endnote>
  <w:endnote w:type="continuationSeparator" w:id="0">
    <w:p w14:paraId="347D2075" w14:textId="77777777" w:rsidR="001227CF" w:rsidRDefault="00122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Clarendon">
    <w:panose1 w:val="02040604040505020204"/>
    <w:charset w:val="00"/>
    <w:family w:val="roman"/>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1986" w14:textId="77777777" w:rsidR="00AC4723" w:rsidRDefault="00AC4723">
    <w:pPr>
      <w:spacing w:after="0" w:line="259" w:lineRule="auto"/>
      <w:ind w:right="3"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98DA" w14:textId="77777777" w:rsidR="00AC4723" w:rsidRDefault="00AC4723">
    <w:pPr>
      <w:spacing w:after="0" w:line="259" w:lineRule="auto"/>
      <w:ind w:right="3"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9C1E" w14:textId="77777777" w:rsidR="00AC4723" w:rsidRDefault="00AC4723">
    <w:pPr>
      <w:spacing w:after="0" w:line="259" w:lineRule="auto"/>
      <w:ind w:right="3"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56AC8" w14:textId="77777777" w:rsidR="00AC4723" w:rsidRDefault="00AC4723">
    <w:pPr>
      <w:spacing w:after="0" w:line="259" w:lineRule="auto"/>
      <w:ind w:right="3" w:firstLine="0"/>
      <w:jc w:val="center"/>
    </w:pPr>
    <w:r>
      <w:fldChar w:fldCharType="begin"/>
    </w:r>
    <w:r>
      <w:instrText xml:space="preserve"> PAGE   \* MERGEFORMAT </w:instrText>
    </w:r>
    <w:r>
      <w:fldChar w:fldCharType="separate"/>
    </w:r>
    <w:r>
      <w:rPr>
        <w:sz w:val="18"/>
      </w:rPr>
      <w:t>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8C83A" w14:textId="77777777" w:rsidR="001227CF" w:rsidRDefault="001227CF">
      <w:pPr>
        <w:tabs>
          <w:tab w:val="center" w:pos="2609"/>
          <w:tab w:val="center" w:pos="5984"/>
        </w:tabs>
        <w:spacing w:after="0" w:line="259" w:lineRule="auto"/>
        <w:ind w:left="-5388" w:firstLine="0"/>
        <w:jc w:val="left"/>
      </w:pPr>
      <w:r>
        <w:separator/>
      </w:r>
    </w:p>
  </w:footnote>
  <w:footnote w:type="continuationSeparator" w:id="0">
    <w:p w14:paraId="243FFF43" w14:textId="77777777" w:rsidR="001227CF" w:rsidRDefault="001227CF">
      <w:pPr>
        <w:tabs>
          <w:tab w:val="center" w:pos="2609"/>
          <w:tab w:val="center" w:pos="5984"/>
        </w:tabs>
        <w:spacing w:after="0" w:line="259" w:lineRule="auto"/>
        <w:ind w:left="-5388" w:firstLine="0"/>
        <w:jc w:val="left"/>
      </w:pPr>
      <w:r>
        <w:continuationSeparator/>
      </w:r>
    </w:p>
  </w:footnote>
  <w:footnote w:id="1">
    <w:p w14:paraId="53B9F9A5" w14:textId="06D2C26A" w:rsidR="00AC4723" w:rsidRDefault="00AC4723">
      <w:pPr>
        <w:pStyle w:val="footnotedescription"/>
        <w:spacing w:line="286" w:lineRule="auto"/>
        <w:jc w:val="both"/>
      </w:pPr>
      <w:r>
        <w:rPr>
          <w:rStyle w:val="footnotemark"/>
        </w:rPr>
        <w:footnoteRef/>
      </w:r>
      <w:r>
        <w:t xml:space="preserve"> </w:t>
      </w:r>
      <w:r w:rsidRPr="00587183">
        <w:rPr>
          <w:rFonts w:ascii="宋体" w:eastAsia="宋体" w:hAnsi="宋体" w:cs="宋体" w:hint="eastAsia"/>
        </w:rPr>
        <w:t>有关参考的</w:t>
      </w:r>
      <w:r w:rsidRPr="00587183">
        <w:t>ASTM</w:t>
      </w:r>
      <w:r w:rsidRPr="00587183">
        <w:rPr>
          <w:rFonts w:ascii="宋体" w:eastAsia="宋体" w:hAnsi="宋体" w:cs="宋体" w:hint="eastAsia"/>
        </w:rPr>
        <w:t>标准，</w:t>
      </w:r>
      <w:proofErr w:type="gramStart"/>
      <w:r w:rsidRPr="00587183">
        <w:rPr>
          <w:rFonts w:ascii="宋体" w:eastAsia="宋体" w:hAnsi="宋体" w:cs="宋体" w:hint="eastAsia"/>
        </w:rPr>
        <w:t>请访问</w:t>
      </w:r>
      <w:proofErr w:type="gramEnd"/>
      <w:r w:rsidRPr="00587183">
        <w:t>ASTM</w:t>
      </w:r>
      <w:r w:rsidRPr="00587183">
        <w:rPr>
          <w:rFonts w:ascii="宋体" w:eastAsia="宋体" w:hAnsi="宋体" w:cs="宋体" w:hint="eastAsia"/>
        </w:rPr>
        <w:t>网站</w:t>
      </w:r>
      <w:r w:rsidRPr="00587183">
        <w:t>www.astm.org</w:t>
      </w:r>
      <w:r w:rsidRPr="00587183">
        <w:rPr>
          <w:rFonts w:ascii="宋体" w:eastAsia="宋体" w:hAnsi="宋体" w:cs="宋体" w:hint="eastAsia"/>
        </w:rPr>
        <w:t>，或通过</w:t>
      </w:r>
      <w:r w:rsidRPr="00587183">
        <w:t>service@astm.org</w:t>
      </w:r>
      <w:r w:rsidRPr="00587183">
        <w:rPr>
          <w:rFonts w:ascii="宋体" w:eastAsia="宋体" w:hAnsi="宋体" w:cs="宋体" w:hint="eastAsia"/>
        </w:rPr>
        <w:t>与</w:t>
      </w:r>
      <w:r w:rsidRPr="00587183">
        <w:t>ASTM</w:t>
      </w:r>
      <w:r w:rsidRPr="00587183">
        <w:rPr>
          <w:rFonts w:ascii="宋体" w:eastAsia="宋体" w:hAnsi="宋体" w:cs="宋体" w:hint="eastAsia"/>
        </w:rPr>
        <w:t>客户服务联系。</w:t>
      </w:r>
      <w:r w:rsidRPr="00587183">
        <w:t xml:space="preserve"> </w:t>
      </w:r>
      <w:r w:rsidRPr="00587183">
        <w:rPr>
          <w:rFonts w:ascii="宋体" w:eastAsia="宋体" w:hAnsi="宋体" w:cs="宋体" w:hint="eastAsia"/>
        </w:rPr>
        <w:t>有关</w:t>
      </w:r>
      <w:r w:rsidRPr="00587183">
        <w:t>ASTM</w:t>
      </w:r>
      <w:r w:rsidRPr="00587183">
        <w:rPr>
          <w:rFonts w:ascii="宋体" w:eastAsia="宋体" w:hAnsi="宋体" w:cs="宋体" w:hint="eastAsia"/>
        </w:rPr>
        <w:t>标准年度手册的量信息，请参阅</w:t>
      </w:r>
      <w:r w:rsidRPr="00587183">
        <w:t>ASTM</w:t>
      </w:r>
      <w:r w:rsidRPr="00587183">
        <w:rPr>
          <w:rFonts w:ascii="宋体" w:eastAsia="宋体" w:hAnsi="宋体" w:cs="宋体" w:hint="eastAsia"/>
        </w:rPr>
        <w:t>网站上该标准的</w:t>
      </w:r>
      <w:r w:rsidRPr="00587183">
        <w:t>“</w:t>
      </w:r>
      <w:r w:rsidRPr="00587183">
        <w:rPr>
          <w:rFonts w:ascii="宋体" w:eastAsia="宋体" w:hAnsi="宋体" w:cs="宋体" w:hint="eastAsia"/>
        </w:rPr>
        <w:t>文档摘要</w:t>
      </w:r>
      <w:r w:rsidRPr="00587183">
        <w:t>”</w:t>
      </w:r>
      <w:r w:rsidRPr="00587183">
        <w:rPr>
          <w:rFonts w:ascii="宋体" w:eastAsia="宋体" w:hAnsi="宋体" w:cs="宋体" w:hint="eastAsia"/>
        </w:rPr>
        <w:t>页面。</w:t>
      </w:r>
    </w:p>
  </w:footnote>
  <w:footnote w:id="2">
    <w:p w14:paraId="20AB1020" w14:textId="12578CA4" w:rsidR="00AC4723" w:rsidRDefault="00AC4723">
      <w:pPr>
        <w:pStyle w:val="footnotedescription"/>
        <w:spacing w:line="300" w:lineRule="auto"/>
        <w:jc w:val="both"/>
      </w:pPr>
      <w:r>
        <w:rPr>
          <w:rStyle w:val="footnotemark"/>
        </w:rPr>
        <w:footnoteRef/>
      </w:r>
      <w:r>
        <w:t xml:space="preserve"> </w:t>
      </w:r>
      <w:r w:rsidRPr="002B32BD">
        <w:rPr>
          <w:rFonts w:ascii="宋体" w:eastAsia="宋体" w:hAnsi="宋体" w:cs="宋体" w:hint="eastAsia"/>
        </w:rPr>
        <w:t>可以从美国国家标准协会（</w:t>
      </w:r>
      <w:r w:rsidRPr="002B32BD">
        <w:t>ANSI</w:t>
      </w:r>
      <w:r w:rsidRPr="002B32BD">
        <w:rPr>
          <w:rFonts w:ascii="宋体" w:eastAsia="宋体" w:hAnsi="宋体" w:cs="宋体" w:hint="eastAsia"/>
        </w:rPr>
        <w:t>），纽约州纽约市</w:t>
      </w:r>
      <w:r w:rsidRPr="002B32BD">
        <w:t>36</w:t>
      </w:r>
      <w:r w:rsidRPr="002B32BD">
        <w:rPr>
          <w:rFonts w:ascii="宋体" w:eastAsia="宋体" w:hAnsi="宋体" w:cs="宋体" w:hint="eastAsia"/>
        </w:rPr>
        <w:t>号大街</w:t>
      </w:r>
      <w:r w:rsidRPr="002B32BD">
        <w:t>4</w:t>
      </w:r>
      <w:r w:rsidRPr="002B32BD">
        <w:rPr>
          <w:rFonts w:ascii="宋体" w:eastAsia="宋体" w:hAnsi="宋体" w:cs="宋体" w:hint="eastAsia"/>
        </w:rPr>
        <w:t>号</w:t>
      </w:r>
      <w:r w:rsidRPr="002B32BD">
        <w:t>25</w:t>
      </w:r>
      <w:r w:rsidRPr="002B32BD">
        <w:rPr>
          <w:rFonts w:ascii="宋体" w:eastAsia="宋体" w:hAnsi="宋体" w:cs="宋体" w:hint="eastAsia"/>
        </w:rPr>
        <w:t>楼，纽约州，纽约</w:t>
      </w:r>
      <w:r w:rsidRPr="002B32BD">
        <w:t>10036</w:t>
      </w:r>
      <w:r w:rsidRPr="002B32BD">
        <w:rPr>
          <w:rFonts w:ascii="宋体" w:eastAsia="宋体" w:hAnsi="宋体" w:cs="宋体" w:hint="eastAsia"/>
        </w:rPr>
        <w:t>，</w:t>
      </w:r>
      <w:r w:rsidRPr="002B32BD">
        <w:t>http</w:t>
      </w:r>
      <w:r w:rsidRPr="002B32BD">
        <w:rPr>
          <w:rFonts w:ascii="宋体" w:eastAsia="宋体" w:hAnsi="宋体" w:cs="宋体" w:hint="eastAsia"/>
        </w:rPr>
        <w:t>：</w:t>
      </w:r>
      <w:r w:rsidRPr="002B32BD">
        <w:t>//www.ansi.org</w:t>
      </w:r>
      <w:r w:rsidRPr="002B32BD">
        <w:rPr>
          <w:rFonts w:ascii="宋体" w:eastAsia="宋体" w:hAnsi="宋体" w:cs="宋体" w:hint="eastAsia"/>
        </w:rPr>
        <w:t>。</w:t>
      </w:r>
    </w:p>
  </w:footnote>
  <w:footnote w:id="3">
    <w:p w14:paraId="5D9665A7" w14:textId="61E1670A" w:rsidR="00AC4723" w:rsidRDefault="00AC4723">
      <w:pPr>
        <w:pStyle w:val="footnotedescription"/>
        <w:spacing w:line="266" w:lineRule="auto"/>
        <w:jc w:val="both"/>
      </w:pPr>
      <w:r>
        <w:rPr>
          <w:rStyle w:val="footnotemark"/>
        </w:rPr>
        <w:footnoteRef/>
      </w:r>
      <w:r>
        <w:t xml:space="preserve"> </w:t>
      </w:r>
      <w:r w:rsidRPr="002B32BD">
        <w:rPr>
          <w:rFonts w:ascii="宋体" w:eastAsia="宋体" w:hAnsi="宋体" w:cs="宋体" w:hint="eastAsia"/>
        </w:rPr>
        <w:t>可从国际人类化学药品注册技术要求统一会议（</w:t>
      </w:r>
      <w:r w:rsidRPr="002B32BD">
        <w:t>ICH</w:t>
      </w:r>
      <w:r w:rsidRPr="002B32BD">
        <w:rPr>
          <w:rFonts w:ascii="宋体" w:eastAsia="宋体" w:hAnsi="宋体" w:cs="宋体" w:hint="eastAsia"/>
        </w:rPr>
        <w:t>），</w:t>
      </w:r>
      <w:r w:rsidRPr="002B32BD">
        <w:t>ICH</w:t>
      </w:r>
      <w:r w:rsidRPr="002B32BD">
        <w:rPr>
          <w:rFonts w:ascii="宋体" w:eastAsia="宋体" w:hAnsi="宋体" w:cs="宋体" w:hint="eastAsia"/>
        </w:rPr>
        <w:t>秘书处，</w:t>
      </w:r>
      <w:r w:rsidRPr="002B32BD">
        <w:t>9</w:t>
      </w:r>
      <w:r w:rsidRPr="002B32BD">
        <w:rPr>
          <w:rFonts w:ascii="宋体" w:eastAsia="宋体" w:hAnsi="宋体" w:cs="宋体" w:hint="eastAsia"/>
        </w:rPr>
        <w:t>，</w:t>
      </w:r>
      <w:proofErr w:type="spellStart"/>
      <w:r w:rsidRPr="002B32BD">
        <w:t>chemin</w:t>
      </w:r>
      <w:proofErr w:type="spellEnd"/>
      <w:r w:rsidRPr="002B32BD">
        <w:t xml:space="preserve"> des Mines</w:t>
      </w:r>
      <w:r w:rsidRPr="002B32BD">
        <w:rPr>
          <w:rFonts w:ascii="宋体" w:eastAsia="宋体" w:hAnsi="宋体" w:cs="宋体" w:hint="eastAsia"/>
        </w:rPr>
        <w:t>，</w:t>
      </w:r>
      <w:r w:rsidRPr="002B32BD">
        <w:t>P.O.</w:t>
      </w:r>
      <w:r w:rsidRPr="002B32BD">
        <w:rPr>
          <w:rFonts w:ascii="宋体" w:eastAsia="宋体" w:hAnsi="宋体" w:cs="宋体" w:hint="eastAsia"/>
        </w:rPr>
        <w:t>获得。</w:t>
      </w:r>
      <w:r w:rsidRPr="002B32BD">
        <w:t xml:space="preserve"> </w:t>
      </w:r>
      <w:r w:rsidRPr="002B32BD">
        <w:rPr>
          <w:rFonts w:ascii="宋体" w:eastAsia="宋体" w:hAnsi="宋体" w:cs="宋体" w:hint="eastAsia"/>
        </w:rPr>
        <w:t>箱</w:t>
      </w:r>
      <w:r w:rsidRPr="002B32BD">
        <w:t>195</w:t>
      </w:r>
      <w:r w:rsidRPr="002B32BD">
        <w:rPr>
          <w:rFonts w:ascii="宋体" w:eastAsia="宋体" w:hAnsi="宋体" w:cs="宋体" w:hint="eastAsia"/>
        </w:rPr>
        <w:t>，</w:t>
      </w:r>
      <w:r w:rsidRPr="002B32BD">
        <w:t>1211</w:t>
      </w:r>
      <w:r w:rsidRPr="002B32BD">
        <w:rPr>
          <w:rFonts w:ascii="宋体" w:eastAsia="宋体" w:hAnsi="宋体" w:cs="宋体" w:hint="eastAsia"/>
        </w:rPr>
        <w:t>日内瓦</w:t>
      </w:r>
      <w:r w:rsidRPr="002B32BD">
        <w:t>20</w:t>
      </w:r>
      <w:r w:rsidRPr="002B32BD">
        <w:rPr>
          <w:rFonts w:ascii="宋体" w:eastAsia="宋体" w:hAnsi="宋体" w:cs="宋体" w:hint="eastAsia"/>
        </w:rPr>
        <w:t>，瑞士，</w:t>
      </w:r>
      <w:r w:rsidRPr="002B32BD">
        <w:t>http://www.ich.org</w:t>
      </w:r>
      <w:r w:rsidRPr="002B32BD">
        <w:rPr>
          <w:rFonts w:ascii="宋体" w:eastAsia="宋体" w:hAnsi="宋体" w:cs="宋体" w:hint="eastAsia"/>
        </w:rPr>
        <w:t>。</w:t>
      </w:r>
    </w:p>
  </w:footnote>
  <w:footnote w:id="4">
    <w:p w14:paraId="6DC6A330" w14:textId="000C87A6" w:rsidR="00AC4723" w:rsidRDefault="00AC4723">
      <w:pPr>
        <w:pStyle w:val="footnotedescription"/>
        <w:spacing w:line="274" w:lineRule="auto"/>
        <w:ind w:right="1"/>
        <w:jc w:val="both"/>
      </w:pPr>
      <w:r>
        <w:rPr>
          <w:rStyle w:val="footnotemark"/>
        </w:rPr>
        <w:footnoteRef/>
      </w:r>
      <w:r w:rsidRPr="002B32BD">
        <w:rPr>
          <w:rFonts w:ascii="宋体" w:eastAsia="宋体" w:hAnsi="宋体" w:cs="宋体" w:hint="eastAsia"/>
        </w:rPr>
        <w:t>可从美国政府印刷局，文件总监（地址：</w:t>
      </w:r>
      <w:r w:rsidRPr="002B32BD">
        <w:t xml:space="preserve">732 </w:t>
      </w:r>
      <w:proofErr w:type="spellStart"/>
      <w:r w:rsidRPr="002B32BD">
        <w:t>N.Capitol</w:t>
      </w:r>
      <w:proofErr w:type="spellEnd"/>
      <w:r w:rsidRPr="002B32BD">
        <w:t xml:space="preserve"> St.</w:t>
      </w:r>
      <w:r w:rsidRPr="002B32BD">
        <w:rPr>
          <w:rFonts w:ascii="宋体" w:eastAsia="宋体" w:hAnsi="宋体" w:cs="宋体" w:hint="eastAsia"/>
        </w:rPr>
        <w:t>，</w:t>
      </w:r>
      <w:r w:rsidRPr="002B32BD">
        <w:t>NW</w:t>
      </w:r>
      <w:r w:rsidRPr="002B32BD">
        <w:rPr>
          <w:rFonts w:ascii="宋体" w:eastAsia="宋体" w:hAnsi="宋体" w:cs="宋体" w:hint="eastAsia"/>
        </w:rPr>
        <w:t>，</w:t>
      </w:r>
      <w:r w:rsidRPr="002B32BD">
        <w:t>Washington</w:t>
      </w:r>
      <w:r w:rsidRPr="002B32BD">
        <w:rPr>
          <w:rFonts w:ascii="宋体" w:eastAsia="宋体" w:hAnsi="宋体" w:cs="宋体" w:hint="eastAsia"/>
        </w:rPr>
        <w:t>，</w:t>
      </w:r>
      <w:r w:rsidRPr="002B32BD">
        <w:t>DC 20401-0001</w:t>
      </w:r>
      <w:r w:rsidRPr="002B32BD">
        <w:rPr>
          <w:rFonts w:ascii="宋体" w:eastAsia="宋体" w:hAnsi="宋体" w:cs="宋体" w:hint="eastAsia"/>
        </w:rPr>
        <w:t>）中找到，</w:t>
      </w:r>
      <w:r w:rsidRPr="002B32BD">
        <w:t>http</w:t>
      </w:r>
      <w:r w:rsidRPr="002B32BD">
        <w:rPr>
          <w:rFonts w:ascii="宋体" w:eastAsia="宋体" w:hAnsi="宋体" w:cs="宋体" w:hint="eastAsia"/>
        </w:rPr>
        <w:t>：</w:t>
      </w:r>
      <w:r w:rsidRPr="002B32BD">
        <w:t>//www.access.gpo.gov</w:t>
      </w:r>
      <w:r w:rsidRPr="002B32BD">
        <w:rPr>
          <w:rFonts w:ascii="宋体" w:eastAsia="宋体" w:hAnsi="宋体" w:cs="宋体"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04AAB" w14:textId="77777777" w:rsidR="00AC4723" w:rsidRDefault="00AC4723">
    <w:pPr>
      <w:tabs>
        <w:tab w:val="center" w:pos="431"/>
        <w:tab w:val="center" w:pos="5508"/>
      </w:tabs>
      <w:spacing w:after="0" w:line="259" w:lineRule="auto"/>
      <w:ind w:firstLine="0"/>
      <w:jc w:val="left"/>
    </w:pPr>
    <w:r>
      <w:rPr>
        <w:noProof/>
      </w:rPr>
      <w:drawing>
        <wp:anchor distT="0" distB="0" distL="114300" distR="114300" simplePos="0" relativeHeight="251658240" behindDoc="0" locked="0" layoutInCell="1" allowOverlap="0" wp14:anchorId="7B8CDFC6" wp14:editId="66719FB2">
          <wp:simplePos x="0" y="0"/>
          <wp:positionH relativeFrom="page">
            <wp:posOffset>3158139</wp:posOffset>
          </wp:positionH>
          <wp:positionV relativeFrom="page">
            <wp:posOffset>373431</wp:posOffset>
          </wp:positionV>
          <wp:extent cx="365760" cy="320040"/>
          <wp:effectExtent l="0" t="0" r="0" b="0"/>
          <wp:wrapSquare wrapText="bothSides"/>
          <wp:docPr id="2"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
                  <a:stretch>
                    <a:fillRect/>
                  </a:stretch>
                </pic:blipFill>
                <pic:spPr>
                  <a:xfrm>
                    <a:off x="0" y="0"/>
                    <a:ext cx="365760" cy="320040"/>
                  </a:xfrm>
                  <a:prstGeom prst="rect">
                    <a:avLst/>
                  </a:prstGeom>
                </pic:spPr>
              </pic:pic>
            </a:graphicData>
          </a:graphic>
        </wp:anchor>
      </w:drawing>
    </w:r>
    <w:r>
      <w:rPr>
        <w:rFonts w:ascii="Calibri" w:eastAsia="Calibri" w:hAnsi="Calibri" w:cs="Calibri"/>
        <w:color w:val="000000"/>
        <w:sz w:val="22"/>
      </w:rPr>
      <w:tab/>
    </w:r>
    <w:r>
      <w:rPr>
        <w:rFonts w:ascii="Courier New" w:eastAsia="Courier New" w:hAnsi="Courier New" w:cs="Courier New"/>
        <w:color w:val="000000"/>
        <w:sz w:val="19"/>
      </w:rPr>
      <w:t xml:space="preserve"> </w:t>
    </w:r>
    <w:r>
      <w:rPr>
        <w:rFonts w:ascii="Courier New" w:eastAsia="Courier New" w:hAnsi="Courier New" w:cs="Courier New"/>
        <w:color w:val="000000"/>
        <w:sz w:val="19"/>
      </w:rPr>
      <w:tab/>
    </w:r>
    <w:r>
      <w:rPr>
        <w:rFonts w:ascii="Arial" w:eastAsia="Arial" w:hAnsi="Arial" w:cs="Arial"/>
        <w:b/>
        <w:sz w:val="22"/>
      </w:rPr>
      <w:t>E3219 − 20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E9AA" w14:textId="77777777" w:rsidR="00AC4723" w:rsidRDefault="00AC4723">
    <w:pPr>
      <w:tabs>
        <w:tab w:val="center" w:pos="431"/>
        <w:tab w:val="center" w:pos="5508"/>
      </w:tabs>
      <w:spacing w:after="0" w:line="259" w:lineRule="auto"/>
      <w:ind w:firstLine="0"/>
      <w:jc w:val="left"/>
    </w:pPr>
    <w:r>
      <w:rPr>
        <w:noProof/>
      </w:rPr>
      <w:drawing>
        <wp:anchor distT="0" distB="0" distL="114300" distR="114300" simplePos="0" relativeHeight="251659264" behindDoc="0" locked="0" layoutInCell="1" allowOverlap="0" wp14:anchorId="300857BE" wp14:editId="4B1AD2F6">
          <wp:simplePos x="0" y="0"/>
          <wp:positionH relativeFrom="page">
            <wp:posOffset>3158139</wp:posOffset>
          </wp:positionH>
          <wp:positionV relativeFrom="page">
            <wp:posOffset>373431</wp:posOffset>
          </wp:positionV>
          <wp:extent cx="365760" cy="320040"/>
          <wp:effectExtent l="0" t="0" r="0" b="0"/>
          <wp:wrapSquare wrapText="bothSides"/>
          <wp:docPr id="3" name="Picture 365"/>
          <wp:cNvGraphicFramePr/>
          <a:graphic xmlns:a="http://schemas.openxmlformats.org/drawingml/2006/main">
            <a:graphicData uri="http://schemas.openxmlformats.org/drawingml/2006/picture">
              <pic:pic xmlns:pic="http://schemas.openxmlformats.org/drawingml/2006/picture">
                <pic:nvPicPr>
                  <pic:cNvPr id="365" name="Picture 365"/>
                  <pic:cNvPicPr/>
                </pic:nvPicPr>
                <pic:blipFill>
                  <a:blip r:embed="rId1"/>
                  <a:stretch>
                    <a:fillRect/>
                  </a:stretch>
                </pic:blipFill>
                <pic:spPr>
                  <a:xfrm>
                    <a:off x="0" y="0"/>
                    <a:ext cx="365760" cy="320040"/>
                  </a:xfrm>
                  <a:prstGeom prst="rect">
                    <a:avLst/>
                  </a:prstGeom>
                </pic:spPr>
              </pic:pic>
            </a:graphicData>
          </a:graphic>
        </wp:anchor>
      </w:drawing>
    </w:r>
    <w:r>
      <w:rPr>
        <w:rFonts w:ascii="Calibri" w:eastAsia="Calibri" w:hAnsi="Calibri" w:cs="Calibri"/>
        <w:color w:val="000000"/>
        <w:sz w:val="22"/>
      </w:rPr>
      <w:tab/>
    </w:r>
    <w:r>
      <w:rPr>
        <w:rFonts w:ascii="Courier New" w:eastAsia="Courier New" w:hAnsi="Courier New" w:cs="Courier New"/>
        <w:color w:val="000000"/>
        <w:sz w:val="19"/>
      </w:rPr>
      <w:t xml:space="preserve"> </w:t>
    </w:r>
    <w:r>
      <w:rPr>
        <w:rFonts w:ascii="Courier New" w:eastAsia="Courier New" w:hAnsi="Courier New" w:cs="Courier New"/>
        <w:color w:val="000000"/>
        <w:sz w:val="19"/>
      </w:rPr>
      <w:tab/>
    </w:r>
    <w:r>
      <w:rPr>
        <w:rFonts w:ascii="Arial" w:eastAsia="Arial" w:hAnsi="Arial" w:cs="Arial"/>
        <w:b/>
        <w:sz w:val="22"/>
      </w:rPr>
      <w:t>E3219 − 20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63498" w14:textId="77777777" w:rsidR="00AC4723" w:rsidRDefault="00AC4723">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70CFE"/>
    <w:multiLevelType w:val="hybridMultilevel"/>
    <w:tmpl w:val="605C1066"/>
    <w:lvl w:ilvl="0" w:tplc="851C0B8C">
      <w:start w:val="12"/>
      <w:numFmt w:val="decimal"/>
      <w:lvlText w:val="%1."/>
      <w:lvlJc w:val="left"/>
      <w:pPr>
        <w:ind w:left="349"/>
      </w:pPr>
      <w:rPr>
        <w:rFonts w:ascii="Times New Roman" w:eastAsia="Times New Roman" w:hAnsi="Times New Roman" w:cs="Times New Roman"/>
        <w:b/>
        <w:bCs/>
        <w:i w:val="0"/>
        <w:strike w:val="0"/>
        <w:dstrike w:val="0"/>
        <w:color w:val="221F1F"/>
        <w:sz w:val="20"/>
        <w:szCs w:val="20"/>
        <w:u w:val="none" w:color="000000"/>
        <w:bdr w:val="none" w:sz="0" w:space="0" w:color="auto"/>
        <w:shd w:val="clear" w:color="auto" w:fill="auto"/>
        <w:vertAlign w:val="baseline"/>
      </w:rPr>
    </w:lvl>
    <w:lvl w:ilvl="1" w:tplc="3C7E3A1E">
      <w:start w:val="1"/>
      <w:numFmt w:val="lowerLetter"/>
      <w:lvlText w:val="%2"/>
      <w:lvlJc w:val="left"/>
      <w:pPr>
        <w:ind w:left="1080"/>
      </w:pPr>
      <w:rPr>
        <w:rFonts w:ascii="Times New Roman" w:eastAsia="Times New Roman" w:hAnsi="Times New Roman" w:cs="Times New Roman"/>
        <w:b/>
        <w:bCs/>
        <w:i w:val="0"/>
        <w:strike w:val="0"/>
        <w:dstrike w:val="0"/>
        <w:color w:val="221F1F"/>
        <w:sz w:val="20"/>
        <w:szCs w:val="20"/>
        <w:u w:val="none" w:color="000000"/>
        <w:bdr w:val="none" w:sz="0" w:space="0" w:color="auto"/>
        <w:shd w:val="clear" w:color="auto" w:fill="auto"/>
        <w:vertAlign w:val="baseline"/>
      </w:rPr>
    </w:lvl>
    <w:lvl w:ilvl="2" w:tplc="17A69A8C">
      <w:start w:val="1"/>
      <w:numFmt w:val="lowerRoman"/>
      <w:lvlText w:val="%3"/>
      <w:lvlJc w:val="left"/>
      <w:pPr>
        <w:ind w:left="1800"/>
      </w:pPr>
      <w:rPr>
        <w:rFonts w:ascii="Times New Roman" w:eastAsia="Times New Roman" w:hAnsi="Times New Roman" w:cs="Times New Roman"/>
        <w:b/>
        <w:bCs/>
        <w:i w:val="0"/>
        <w:strike w:val="0"/>
        <w:dstrike w:val="0"/>
        <w:color w:val="221F1F"/>
        <w:sz w:val="20"/>
        <w:szCs w:val="20"/>
        <w:u w:val="none" w:color="000000"/>
        <w:bdr w:val="none" w:sz="0" w:space="0" w:color="auto"/>
        <w:shd w:val="clear" w:color="auto" w:fill="auto"/>
        <w:vertAlign w:val="baseline"/>
      </w:rPr>
    </w:lvl>
    <w:lvl w:ilvl="3" w:tplc="6524883A">
      <w:start w:val="1"/>
      <w:numFmt w:val="decimal"/>
      <w:lvlText w:val="%4"/>
      <w:lvlJc w:val="left"/>
      <w:pPr>
        <w:ind w:left="2520"/>
      </w:pPr>
      <w:rPr>
        <w:rFonts w:ascii="Times New Roman" w:eastAsia="Times New Roman" w:hAnsi="Times New Roman" w:cs="Times New Roman"/>
        <w:b/>
        <w:bCs/>
        <w:i w:val="0"/>
        <w:strike w:val="0"/>
        <w:dstrike w:val="0"/>
        <w:color w:val="221F1F"/>
        <w:sz w:val="20"/>
        <w:szCs w:val="20"/>
        <w:u w:val="none" w:color="000000"/>
        <w:bdr w:val="none" w:sz="0" w:space="0" w:color="auto"/>
        <w:shd w:val="clear" w:color="auto" w:fill="auto"/>
        <w:vertAlign w:val="baseline"/>
      </w:rPr>
    </w:lvl>
    <w:lvl w:ilvl="4" w:tplc="873A3386">
      <w:start w:val="1"/>
      <w:numFmt w:val="lowerLetter"/>
      <w:lvlText w:val="%5"/>
      <w:lvlJc w:val="left"/>
      <w:pPr>
        <w:ind w:left="3240"/>
      </w:pPr>
      <w:rPr>
        <w:rFonts w:ascii="Times New Roman" w:eastAsia="Times New Roman" w:hAnsi="Times New Roman" w:cs="Times New Roman"/>
        <w:b/>
        <w:bCs/>
        <w:i w:val="0"/>
        <w:strike w:val="0"/>
        <w:dstrike w:val="0"/>
        <w:color w:val="221F1F"/>
        <w:sz w:val="20"/>
        <w:szCs w:val="20"/>
        <w:u w:val="none" w:color="000000"/>
        <w:bdr w:val="none" w:sz="0" w:space="0" w:color="auto"/>
        <w:shd w:val="clear" w:color="auto" w:fill="auto"/>
        <w:vertAlign w:val="baseline"/>
      </w:rPr>
    </w:lvl>
    <w:lvl w:ilvl="5" w:tplc="E50EF198">
      <w:start w:val="1"/>
      <w:numFmt w:val="lowerRoman"/>
      <w:lvlText w:val="%6"/>
      <w:lvlJc w:val="left"/>
      <w:pPr>
        <w:ind w:left="3960"/>
      </w:pPr>
      <w:rPr>
        <w:rFonts w:ascii="Times New Roman" w:eastAsia="Times New Roman" w:hAnsi="Times New Roman" w:cs="Times New Roman"/>
        <w:b/>
        <w:bCs/>
        <w:i w:val="0"/>
        <w:strike w:val="0"/>
        <w:dstrike w:val="0"/>
        <w:color w:val="221F1F"/>
        <w:sz w:val="20"/>
        <w:szCs w:val="20"/>
        <w:u w:val="none" w:color="000000"/>
        <w:bdr w:val="none" w:sz="0" w:space="0" w:color="auto"/>
        <w:shd w:val="clear" w:color="auto" w:fill="auto"/>
        <w:vertAlign w:val="baseline"/>
      </w:rPr>
    </w:lvl>
    <w:lvl w:ilvl="6" w:tplc="1C8EE52C">
      <w:start w:val="1"/>
      <w:numFmt w:val="decimal"/>
      <w:lvlText w:val="%7"/>
      <w:lvlJc w:val="left"/>
      <w:pPr>
        <w:ind w:left="4680"/>
      </w:pPr>
      <w:rPr>
        <w:rFonts w:ascii="Times New Roman" w:eastAsia="Times New Roman" w:hAnsi="Times New Roman" w:cs="Times New Roman"/>
        <w:b/>
        <w:bCs/>
        <w:i w:val="0"/>
        <w:strike w:val="0"/>
        <w:dstrike w:val="0"/>
        <w:color w:val="221F1F"/>
        <w:sz w:val="20"/>
        <w:szCs w:val="20"/>
        <w:u w:val="none" w:color="000000"/>
        <w:bdr w:val="none" w:sz="0" w:space="0" w:color="auto"/>
        <w:shd w:val="clear" w:color="auto" w:fill="auto"/>
        <w:vertAlign w:val="baseline"/>
      </w:rPr>
    </w:lvl>
    <w:lvl w:ilvl="7" w:tplc="796A6480">
      <w:start w:val="1"/>
      <w:numFmt w:val="lowerLetter"/>
      <w:lvlText w:val="%8"/>
      <w:lvlJc w:val="left"/>
      <w:pPr>
        <w:ind w:left="5400"/>
      </w:pPr>
      <w:rPr>
        <w:rFonts w:ascii="Times New Roman" w:eastAsia="Times New Roman" w:hAnsi="Times New Roman" w:cs="Times New Roman"/>
        <w:b/>
        <w:bCs/>
        <w:i w:val="0"/>
        <w:strike w:val="0"/>
        <w:dstrike w:val="0"/>
        <w:color w:val="221F1F"/>
        <w:sz w:val="20"/>
        <w:szCs w:val="20"/>
        <w:u w:val="none" w:color="000000"/>
        <w:bdr w:val="none" w:sz="0" w:space="0" w:color="auto"/>
        <w:shd w:val="clear" w:color="auto" w:fill="auto"/>
        <w:vertAlign w:val="baseline"/>
      </w:rPr>
    </w:lvl>
    <w:lvl w:ilvl="8" w:tplc="EA64A56A">
      <w:start w:val="1"/>
      <w:numFmt w:val="lowerRoman"/>
      <w:lvlText w:val="%9"/>
      <w:lvlJc w:val="left"/>
      <w:pPr>
        <w:ind w:left="6120"/>
      </w:pPr>
      <w:rPr>
        <w:rFonts w:ascii="Times New Roman" w:eastAsia="Times New Roman" w:hAnsi="Times New Roman" w:cs="Times New Roman"/>
        <w:b/>
        <w:bCs/>
        <w:i w:val="0"/>
        <w:strike w:val="0"/>
        <w:dstrike w:val="0"/>
        <w:color w:val="221F1F"/>
        <w:sz w:val="20"/>
        <w:szCs w:val="20"/>
        <w:u w:val="none" w:color="000000"/>
        <w:bdr w:val="none" w:sz="0" w:space="0" w:color="auto"/>
        <w:shd w:val="clear" w:color="auto" w:fill="auto"/>
        <w:vertAlign w:val="baseline"/>
      </w:rPr>
    </w:lvl>
  </w:abstractNum>
  <w:abstractNum w:abstractNumId="1" w15:restartNumberingAfterBreak="0">
    <w:nsid w:val="269856FE"/>
    <w:multiLevelType w:val="multilevel"/>
    <w:tmpl w:val="2A3CAD96"/>
    <w:lvl w:ilvl="0">
      <w:start w:val="5"/>
      <w:numFmt w:val="decimal"/>
      <w:lvlText w:val="%1"/>
      <w:lvlJc w:val="left"/>
      <w:pPr>
        <w:ind w:left="36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1">
      <w:start w:val="5"/>
      <w:numFmt w:val="decimal"/>
      <w:lvlText w:val="%1.%2"/>
      <w:lvlJc w:val="left"/>
      <w:pPr>
        <w:ind w:left="455"/>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2">
      <w:start w:val="1"/>
      <w:numFmt w:val="decimal"/>
      <w:lvlRestart w:val="0"/>
      <w:lvlText w:val="%1.%2.%3"/>
      <w:lvlJc w:val="left"/>
      <w:pPr>
        <w:ind w:left="815"/>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3">
      <w:start w:val="1"/>
      <w:numFmt w:val="decimal"/>
      <w:lvlText w:val="%4"/>
      <w:lvlJc w:val="left"/>
      <w:pPr>
        <w:ind w:left="127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4">
      <w:start w:val="1"/>
      <w:numFmt w:val="lowerLetter"/>
      <w:lvlText w:val="%5"/>
      <w:lvlJc w:val="left"/>
      <w:pPr>
        <w:ind w:left="199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5">
      <w:start w:val="1"/>
      <w:numFmt w:val="lowerRoman"/>
      <w:lvlText w:val="%6"/>
      <w:lvlJc w:val="left"/>
      <w:pPr>
        <w:ind w:left="271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6">
      <w:start w:val="1"/>
      <w:numFmt w:val="decimal"/>
      <w:lvlText w:val="%7"/>
      <w:lvlJc w:val="left"/>
      <w:pPr>
        <w:ind w:left="343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7">
      <w:start w:val="1"/>
      <w:numFmt w:val="lowerLetter"/>
      <w:lvlText w:val="%8"/>
      <w:lvlJc w:val="left"/>
      <w:pPr>
        <w:ind w:left="415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8">
      <w:start w:val="1"/>
      <w:numFmt w:val="lowerRoman"/>
      <w:lvlText w:val="%9"/>
      <w:lvlJc w:val="left"/>
      <w:pPr>
        <w:ind w:left="487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abstractNum>
  <w:abstractNum w:abstractNumId="2" w15:restartNumberingAfterBreak="0">
    <w:nsid w:val="2E9B393A"/>
    <w:multiLevelType w:val="hybridMultilevel"/>
    <w:tmpl w:val="484AA6DA"/>
    <w:lvl w:ilvl="0" w:tplc="8312B55A">
      <w:start w:val="1"/>
      <w:numFmt w:val="lowerLetter"/>
      <w:lvlText w:val="(%1)"/>
      <w:lvlJc w:val="left"/>
      <w:pPr>
        <w:ind w:left="0"/>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1" w:tplc="CE74C30E">
      <w:start w:val="1"/>
      <w:numFmt w:val="lowerLetter"/>
      <w:lvlText w:val="%2"/>
      <w:lvlJc w:val="left"/>
      <w:pPr>
        <w:ind w:left="150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2" w:tplc="A34048F6">
      <w:start w:val="1"/>
      <w:numFmt w:val="lowerRoman"/>
      <w:lvlText w:val="%3"/>
      <w:lvlJc w:val="left"/>
      <w:pPr>
        <w:ind w:left="222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3" w:tplc="5EDEBD90">
      <w:start w:val="1"/>
      <w:numFmt w:val="decimal"/>
      <w:lvlText w:val="%4"/>
      <w:lvlJc w:val="left"/>
      <w:pPr>
        <w:ind w:left="294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4" w:tplc="DB587F78">
      <w:start w:val="1"/>
      <w:numFmt w:val="lowerLetter"/>
      <w:lvlText w:val="%5"/>
      <w:lvlJc w:val="left"/>
      <w:pPr>
        <w:ind w:left="366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5" w:tplc="B16C13C6">
      <w:start w:val="1"/>
      <w:numFmt w:val="lowerRoman"/>
      <w:lvlText w:val="%6"/>
      <w:lvlJc w:val="left"/>
      <w:pPr>
        <w:ind w:left="438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6" w:tplc="08E6B738">
      <w:start w:val="1"/>
      <w:numFmt w:val="decimal"/>
      <w:lvlText w:val="%7"/>
      <w:lvlJc w:val="left"/>
      <w:pPr>
        <w:ind w:left="510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7" w:tplc="565A35FC">
      <w:start w:val="1"/>
      <w:numFmt w:val="lowerLetter"/>
      <w:lvlText w:val="%8"/>
      <w:lvlJc w:val="left"/>
      <w:pPr>
        <w:ind w:left="582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8" w:tplc="4CDAD692">
      <w:start w:val="1"/>
      <w:numFmt w:val="lowerRoman"/>
      <w:lvlText w:val="%9"/>
      <w:lvlJc w:val="left"/>
      <w:pPr>
        <w:ind w:left="654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abstractNum>
  <w:abstractNum w:abstractNumId="3" w15:restartNumberingAfterBreak="0">
    <w:nsid w:val="366C030E"/>
    <w:multiLevelType w:val="hybridMultilevel"/>
    <w:tmpl w:val="D3BE9808"/>
    <w:lvl w:ilvl="0" w:tplc="EDA68456">
      <w:start w:val="1"/>
      <w:numFmt w:val="decimal"/>
      <w:lvlText w:val="(%1)"/>
      <w:lvlJc w:val="left"/>
      <w:pPr>
        <w:ind w:left="0"/>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1" w:tplc="5EE86BD0">
      <w:start w:val="1"/>
      <w:numFmt w:val="lowerLetter"/>
      <w:lvlText w:val="%2"/>
      <w:lvlJc w:val="left"/>
      <w:pPr>
        <w:ind w:left="138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2" w:tplc="68EEE98E">
      <w:start w:val="1"/>
      <w:numFmt w:val="lowerRoman"/>
      <w:lvlText w:val="%3"/>
      <w:lvlJc w:val="left"/>
      <w:pPr>
        <w:ind w:left="210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3" w:tplc="78AE078C">
      <w:start w:val="1"/>
      <w:numFmt w:val="decimal"/>
      <w:lvlText w:val="%4"/>
      <w:lvlJc w:val="left"/>
      <w:pPr>
        <w:ind w:left="282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4" w:tplc="CD083EA8">
      <w:start w:val="1"/>
      <w:numFmt w:val="lowerLetter"/>
      <w:lvlText w:val="%5"/>
      <w:lvlJc w:val="left"/>
      <w:pPr>
        <w:ind w:left="354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5" w:tplc="2AA42384">
      <w:start w:val="1"/>
      <w:numFmt w:val="lowerRoman"/>
      <w:lvlText w:val="%6"/>
      <w:lvlJc w:val="left"/>
      <w:pPr>
        <w:ind w:left="426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6" w:tplc="004E05C4">
      <w:start w:val="1"/>
      <w:numFmt w:val="decimal"/>
      <w:lvlText w:val="%7"/>
      <w:lvlJc w:val="left"/>
      <w:pPr>
        <w:ind w:left="498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7" w:tplc="7930B85A">
      <w:start w:val="1"/>
      <w:numFmt w:val="lowerLetter"/>
      <w:lvlText w:val="%8"/>
      <w:lvlJc w:val="left"/>
      <w:pPr>
        <w:ind w:left="570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8" w:tplc="C42C4CF2">
      <w:start w:val="1"/>
      <w:numFmt w:val="lowerRoman"/>
      <w:lvlText w:val="%9"/>
      <w:lvlJc w:val="left"/>
      <w:pPr>
        <w:ind w:left="642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abstractNum>
  <w:abstractNum w:abstractNumId="4" w15:restartNumberingAfterBreak="0">
    <w:nsid w:val="38927B51"/>
    <w:multiLevelType w:val="multilevel"/>
    <w:tmpl w:val="634E1EB0"/>
    <w:lvl w:ilvl="0">
      <w:start w:val="5"/>
      <w:numFmt w:val="decimal"/>
      <w:lvlText w:val="%1"/>
      <w:lvlJc w:val="left"/>
      <w:pPr>
        <w:ind w:left="36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1">
      <w:start w:val="8"/>
      <w:numFmt w:val="decimal"/>
      <w:lvlText w:val="%1.%2"/>
      <w:lvlJc w:val="left"/>
      <w:pPr>
        <w:ind w:left="423"/>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2">
      <w:start w:val="2"/>
      <w:numFmt w:val="decimal"/>
      <w:lvlText w:val="%1.%2.%3"/>
      <w:lvlJc w:val="left"/>
      <w:pPr>
        <w:ind w:left="486"/>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3">
      <w:start w:val="1"/>
      <w:numFmt w:val="decimal"/>
      <w:lvlRestart w:val="0"/>
      <w:lvlText w:val="%1.%2.%3.%4"/>
      <w:lvlJc w:val="left"/>
      <w:pPr>
        <w:ind w:left="846"/>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4">
      <w:start w:val="1"/>
      <w:numFmt w:val="lowerLetter"/>
      <w:lvlText w:val="%5"/>
      <w:lvlJc w:val="left"/>
      <w:pPr>
        <w:ind w:left="127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5">
      <w:start w:val="1"/>
      <w:numFmt w:val="lowerRoman"/>
      <w:lvlText w:val="%6"/>
      <w:lvlJc w:val="left"/>
      <w:pPr>
        <w:ind w:left="199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6">
      <w:start w:val="1"/>
      <w:numFmt w:val="decimal"/>
      <w:lvlText w:val="%7"/>
      <w:lvlJc w:val="left"/>
      <w:pPr>
        <w:ind w:left="271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7">
      <w:start w:val="1"/>
      <w:numFmt w:val="lowerLetter"/>
      <w:lvlText w:val="%8"/>
      <w:lvlJc w:val="left"/>
      <w:pPr>
        <w:ind w:left="343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8">
      <w:start w:val="1"/>
      <w:numFmt w:val="lowerRoman"/>
      <w:lvlText w:val="%9"/>
      <w:lvlJc w:val="left"/>
      <w:pPr>
        <w:ind w:left="415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abstractNum>
  <w:abstractNum w:abstractNumId="5" w15:restartNumberingAfterBreak="0">
    <w:nsid w:val="3B946043"/>
    <w:multiLevelType w:val="hybridMultilevel"/>
    <w:tmpl w:val="88582AB8"/>
    <w:lvl w:ilvl="0" w:tplc="4AC4AED2">
      <w:start w:val="1"/>
      <w:numFmt w:val="decimal"/>
      <w:lvlText w:val="(%1)"/>
      <w:lvlJc w:val="left"/>
      <w:pPr>
        <w:ind w:left="452"/>
      </w:pPr>
      <w:rPr>
        <w:rFonts w:ascii="Times New Roman" w:eastAsia="Times New Roman" w:hAnsi="Times New Roman" w:cs="Times New Roman"/>
        <w:b/>
        <w:bCs/>
        <w:i w:val="0"/>
        <w:strike w:val="0"/>
        <w:dstrike w:val="0"/>
        <w:color w:val="FF0000"/>
        <w:sz w:val="17"/>
        <w:szCs w:val="17"/>
        <w:u w:val="none" w:color="000000"/>
        <w:bdr w:val="none" w:sz="0" w:space="0" w:color="auto"/>
        <w:shd w:val="clear" w:color="auto" w:fill="auto"/>
        <w:vertAlign w:val="baseline"/>
      </w:rPr>
    </w:lvl>
    <w:lvl w:ilvl="1" w:tplc="2DE64C94">
      <w:start w:val="1"/>
      <w:numFmt w:val="lowerLetter"/>
      <w:lvlText w:val="%2"/>
      <w:lvlJc w:val="left"/>
      <w:pPr>
        <w:ind w:left="1080"/>
      </w:pPr>
      <w:rPr>
        <w:rFonts w:ascii="Times New Roman" w:eastAsia="Times New Roman" w:hAnsi="Times New Roman" w:cs="Times New Roman"/>
        <w:b/>
        <w:bCs/>
        <w:i w:val="0"/>
        <w:strike w:val="0"/>
        <w:dstrike w:val="0"/>
        <w:color w:val="FF0000"/>
        <w:sz w:val="17"/>
        <w:szCs w:val="17"/>
        <w:u w:val="none" w:color="000000"/>
        <w:bdr w:val="none" w:sz="0" w:space="0" w:color="auto"/>
        <w:shd w:val="clear" w:color="auto" w:fill="auto"/>
        <w:vertAlign w:val="baseline"/>
      </w:rPr>
    </w:lvl>
    <w:lvl w:ilvl="2" w:tplc="5816A7C0">
      <w:start w:val="1"/>
      <w:numFmt w:val="lowerRoman"/>
      <w:lvlText w:val="%3"/>
      <w:lvlJc w:val="left"/>
      <w:pPr>
        <w:ind w:left="1800"/>
      </w:pPr>
      <w:rPr>
        <w:rFonts w:ascii="Times New Roman" w:eastAsia="Times New Roman" w:hAnsi="Times New Roman" w:cs="Times New Roman"/>
        <w:b/>
        <w:bCs/>
        <w:i w:val="0"/>
        <w:strike w:val="0"/>
        <w:dstrike w:val="0"/>
        <w:color w:val="FF0000"/>
        <w:sz w:val="17"/>
        <w:szCs w:val="17"/>
        <w:u w:val="none" w:color="000000"/>
        <w:bdr w:val="none" w:sz="0" w:space="0" w:color="auto"/>
        <w:shd w:val="clear" w:color="auto" w:fill="auto"/>
        <w:vertAlign w:val="baseline"/>
      </w:rPr>
    </w:lvl>
    <w:lvl w:ilvl="3" w:tplc="11FEB56C">
      <w:start w:val="1"/>
      <w:numFmt w:val="decimal"/>
      <w:lvlText w:val="%4"/>
      <w:lvlJc w:val="left"/>
      <w:pPr>
        <w:ind w:left="2520"/>
      </w:pPr>
      <w:rPr>
        <w:rFonts w:ascii="Times New Roman" w:eastAsia="Times New Roman" w:hAnsi="Times New Roman" w:cs="Times New Roman"/>
        <w:b/>
        <w:bCs/>
        <w:i w:val="0"/>
        <w:strike w:val="0"/>
        <w:dstrike w:val="0"/>
        <w:color w:val="FF0000"/>
        <w:sz w:val="17"/>
        <w:szCs w:val="17"/>
        <w:u w:val="none" w:color="000000"/>
        <w:bdr w:val="none" w:sz="0" w:space="0" w:color="auto"/>
        <w:shd w:val="clear" w:color="auto" w:fill="auto"/>
        <w:vertAlign w:val="baseline"/>
      </w:rPr>
    </w:lvl>
    <w:lvl w:ilvl="4" w:tplc="8C28545E">
      <w:start w:val="1"/>
      <w:numFmt w:val="lowerLetter"/>
      <w:lvlText w:val="%5"/>
      <w:lvlJc w:val="left"/>
      <w:pPr>
        <w:ind w:left="3240"/>
      </w:pPr>
      <w:rPr>
        <w:rFonts w:ascii="Times New Roman" w:eastAsia="Times New Roman" w:hAnsi="Times New Roman" w:cs="Times New Roman"/>
        <w:b/>
        <w:bCs/>
        <w:i w:val="0"/>
        <w:strike w:val="0"/>
        <w:dstrike w:val="0"/>
        <w:color w:val="FF0000"/>
        <w:sz w:val="17"/>
        <w:szCs w:val="17"/>
        <w:u w:val="none" w:color="000000"/>
        <w:bdr w:val="none" w:sz="0" w:space="0" w:color="auto"/>
        <w:shd w:val="clear" w:color="auto" w:fill="auto"/>
        <w:vertAlign w:val="baseline"/>
      </w:rPr>
    </w:lvl>
    <w:lvl w:ilvl="5" w:tplc="F22AD292">
      <w:start w:val="1"/>
      <w:numFmt w:val="lowerRoman"/>
      <w:lvlText w:val="%6"/>
      <w:lvlJc w:val="left"/>
      <w:pPr>
        <w:ind w:left="3960"/>
      </w:pPr>
      <w:rPr>
        <w:rFonts w:ascii="Times New Roman" w:eastAsia="Times New Roman" w:hAnsi="Times New Roman" w:cs="Times New Roman"/>
        <w:b/>
        <w:bCs/>
        <w:i w:val="0"/>
        <w:strike w:val="0"/>
        <w:dstrike w:val="0"/>
        <w:color w:val="FF0000"/>
        <w:sz w:val="17"/>
        <w:szCs w:val="17"/>
        <w:u w:val="none" w:color="000000"/>
        <w:bdr w:val="none" w:sz="0" w:space="0" w:color="auto"/>
        <w:shd w:val="clear" w:color="auto" w:fill="auto"/>
        <w:vertAlign w:val="baseline"/>
      </w:rPr>
    </w:lvl>
    <w:lvl w:ilvl="6" w:tplc="E708A892">
      <w:start w:val="1"/>
      <w:numFmt w:val="decimal"/>
      <w:lvlText w:val="%7"/>
      <w:lvlJc w:val="left"/>
      <w:pPr>
        <w:ind w:left="4680"/>
      </w:pPr>
      <w:rPr>
        <w:rFonts w:ascii="Times New Roman" w:eastAsia="Times New Roman" w:hAnsi="Times New Roman" w:cs="Times New Roman"/>
        <w:b/>
        <w:bCs/>
        <w:i w:val="0"/>
        <w:strike w:val="0"/>
        <w:dstrike w:val="0"/>
        <w:color w:val="FF0000"/>
        <w:sz w:val="17"/>
        <w:szCs w:val="17"/>
        <w:u w:val="none" w:color="000000"/>
        <w:bdr w:val="none" w:sz="0" w:space="0" w:color="auto"/>
        <w:shd w:val="clear" w:color="auto" w:fill="auto"/>
        <w:vertAlign w:val="baseline"/>
      </w:rPr>
    </w:lvl>
    <w:lvl w:ilvl="7" w:tplc="73BEA8E8">
      <w:start w:val="1"/>
      <w:numFmt w:val="lowerLetter"/>
      <w:lvlText w:val="%8"/>
      <w:lvlJc w:val="left"/>
      <w:pPr>
        <w:ind w:left="5400"/>
      </w:pPr>
      <w:rPr>
        <w:rFonts w:ascii="Times New Roman" w:eastAsia="Times New Roman" w:hAnsi="Times New Roman" w:cs="Times New Roman"/>
        <w:b/>
        <w:bCs/>
        <w:i w:val="0"/>
        <w:strike w:val="0"/>
        <w:dstrike w:val="0"/>
        <w:color w:val="FF0000"/>
        <w:sz w:val="17"/>
        <w:szCs w:val="17"/>
        <w:u w:val="none" w:color="000000"/>
        <w:bdr w:val="none" w:sz="0" w:space="0" w:color="auto"/>
        <w:shd w:val="clear" w:color="auto" w:fill="auto"/>
        <w:vertAlign w:val="baseline"/>
      </w:rPr>
    </w:lvl>
    <w:lvl w:ilvl="8" w:tplc="3590611A">
      <w:start w:val="1"/>
      <w:numFmt w:val="lowerRoman"/>
      <w:lvlText w:val="%9"/>
      <w:lvlJc w:val="left"/>
      <w:pPr>
        <w:ind w:left="6120"/>
      </w:pPr>
      <w:rPr>
        <w:rFonts w:ascii="Times New Roman" w:eastAsia="Times New Roman" w:hAnsi="Times New Roman" w:cs="Times New Roman"/>
        <w:b/>
        <w:bCs/>
        <w:i w:val="0"/>
        <w:strike w:val="0"/>
        <w:dstrike w:val="0"/>
        <w:color w:val="FF0000"/>
        <w:sz w:val="17"/>
        <w:szCs w:val="17"/>
        <w:u w:val="none" w:color="000000"/>
        <w:bdr w:val="none" w:sz="0" w:space="0" w:color="auto"/>
        <w:shd w:val="clear" w:color="auto" w:fill="auto"/>
        <w:vertAlign w:val="baseline"/>
      </w:rPr>
    </w:lvl>
  </w:abstractNum>
  <w:abstractNum w:abstractNumId="6" w15:restartNumberingAfterBreak="0">
    <w:nsid w:val="59C7762A"/>
    <w:multiLevelType w:val="hybridMultilevel"/>
    <w:tmpl w:val="83F866A0"/>
    <w:lvl w:ilvl="0" w:tplc="93B04F0E">
      <w:start w:val="1"/>
      <w:numFmt w:val="decimal"/>
      <w:lvlText w:val="(%1)"/>
      <w:lvlJc w:val="left"/>
      <w:pPr>
        <w:ind w:left="0"/>
      </w:pPr>
      <w:rPr>
        <w:rFonts w:ascii="Times New Roman" w:eastAsia="Times New Roman" w:hAnsi="Times New Roman" w:cs="Times New Roman"/>
        <w:b w:val="0"/>
        <w:i w:val="0"/>
        <w:iCs w:val="0"/>
        <w:strike w:val="0"/>
        <w:dstrike w:val="0"/>
        <w:color w:val="221F1F"/>
        <w:sz w:val="20"/>
        <w:szCs w:val="20"/>
        <w:u w:val="none" w:color="000000"/>
        <w:bdr w:val="none" w:sz="0" w:space="0" w:color="auto"/>
        <w:shd w:val="clear" w:color="auto" w:fill="auto"/>
        <w:vertAlign w:val="baseline"/>
      </w:rPr>
    </w:lvl>
    <w:lvl w:ilvl="1" w:tplc="35EACF12">
      <w:start w:val="1"/>
      <w:numFmt w:val="lowerLetter"/>
      <w:lvlText w:val="%2"/>
      <w:lvlJc w:val="left"/>
      <w:pPr>
        <w:ind w:left="138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2" w:tplc="706C7478">
      <w:start w:val="1"/>
      <w:numFmt w:val="lowerRoman"/>
      <w:lvlText w:val="%3"/>
      <w:lvlJc w:val="left"/>
      <w:pPr>
        <w:ind w:left="210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3" w:tplc="BCFEF97C">
      <w:start w:val="1"/>
      <w:numFmt w:val="decimal"/>
      <w:lvlText w:val="%4"/>
      <w:lvlJc w:val="left"/>
      <w:pPr>
        <w:ind w:left="282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4" w:tplc="A4828BD4">
      <w:start w:val="1"/>
      <w:numFmt w:val="lowerLetter"/>
      <w:lvlText w:val="%5"/>
      <w:lvlJc w:val="left"/>
      <w:pPr>
        <w:ind w:left="354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5" w:tplc="B4E2BDF0">
      <w:start w:val="1"/>
      <w:numFmt w:val="lowerRoman"/>
      <w:lvlText w:val="%6"/>
      <w:lvlJc w:val="left"/>
      <w:pPr>
        <w:ind w:left="426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6" w:tplc="5B2E8134">
      <w:start w:val="1"/>
      <w:numFmt w:val="decimal"/>
      <w:lvlText w:val="%7"/>
      <w:lvlJc w:val="left"/>
      <w:pPr>
        <w:ind w:left="498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7" w:tplc="1E8E979C">
      <w:start w:val="1"/>
      <w:numFmt w:val="lowerLetter"/>
      <w:lvlText w:val="%8"/>
      <w:lvlJc w:val="left"/>
      <w:pPr>
        <w:ind w:left="570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8" w:tplc="BA3ADA72">
      <w:start w:val="1"/>
      <w:numFmt w:val="lowerRoman"/>
      <w:lvlText w:val="%9"/>
      <w:lvlJc w:val="left"/>
      <w:pPr>
        <w:ind w:left="642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abstractNum>
  <w:abstractNum w:abstractNumId="7" w15:restartNumberingAfterBreak="0">
    <w:nsid w:val="73D86F90"/>
    <w:multiLevelType w:val="multilevel"/>
    <w:tmpl w:val="6CF67466"/>
    <w:lvl w:ilvl="0">
      <w:start w:val="5"/>
      <w:numFmt w:val="decimal"/>
      <w:lvlText w:val="%1"/>
      <w:lvlJc w:val="left"/>
      <w:pPr>
        <w:ind w:left="36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1">
      <w:start w:val="7"/>
      <w:numFmt w:val="decimal"/>
      <w:lvlText w:val="%1.%2"/>
      <w:lvlJc w:val="left"/>
      <w:pPr>
        <w:ind w:left="455"/>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2">
      <w:start w:val="1"/>
      <w:numFmt w:val="decimal"/>
      <w:lvlRestart w:val="0"/>
      <w:lvlText w:val="%1.%2.%3"/>
      <w:lvlJc w:val="left"/>
      <w:pPr>
        <w:ind w:left="815"/>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3">
      <w:start w:val="1"/>
      <w:numFmt w:val="decimal"/>
      <w:lvlText w:val="%4"/>
      <w:lvlJc w:val="left"/>
      <w:pPr>
        <w:ind w:left="127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4">
      <w:start w:val="1"/>
      <w:numFmt w:val="lowerLetter"/>
      <w:lvlText w:val="%5"/>
      <w:lvlJc w:val="left"/>
      <w:pPr>
        <w:ind w:left="199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5">
      <w:start w:val="1"/>
      <w:numFmt w:val="lowerRoman"/>
      <w:lvlText w:val="%6"/>
      <w:lvlJc w:val="left"/>
      <w:pPr>
        <w:ind w:left="271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6">
      <w:start w:val="1"/>
      <w:numFmt w:val="decimal"/>
      <w:lvlText w:val="%7"/>
      <w:lvlJc w:val="left"/>
      <w:pPr>
        <w:ind w:left="343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7">
      <w:start w:val="1"/>
      <w:numFmt w:val="lowerLetter"/>
      <w:lvlText w:val="%8"/>
      <w:lvlJc w:val="left"/>
      <w:pPr>
        <w:ind w:left="415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8">
      <w:start w:val="1"/>
      <w:numFmt w:val="lowerRoman"/>
      <w:lvlText w:val="%9"/>
      <w:lvlJc w:val="left"/>
      <w:pPr>
        <w:ind w:left="487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abstractNum>
  <w:abstractNum w:abstractNumId="8" w15:restartNumberingAfterBreak="0">
    <w:nsid w:val="752F6C08"/>
    <w:multiLevelType w:val="hybridMultilevel"/>
    <w:tmpl w:val="54C6BA28"/>
    <w:lvl w:ilvl="0" w:tplc="3A485E7C">
      <w:start w:val="1"/>
      <w:numFmt w:val="decimal"/>
      <w:lvlText w:val="(%1)"/>
      <w:lvlJc w:val="left"/>
      <w:pPr>
        <w:ind w:left="0"/>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1" w:tplc="46A4569E">
      <w:start w:val="1"/>
      <w:numFmt w:val="lowerLetter"/>
      <w:lvlText w:val="%2"/>
      <w:lvlJc w:val="left"/>
      <w:pPr>
        <w:ind w:left="138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2" w:tplc="7F7C18E4">
      <w:start w:val="1"/>
      <w:numFmt w:val="lowerRoman"/>
      <w:lvlText w:val="%3"/>
      <w:lvlJc w:val="left"/>
      <w:pPr>
        <w:ind w:left="210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3" w:tplc="4354491A">
      <w:start w:val="1"/>
      <w:numFmt w:val="decimal"/>
      <w:lvlText w:val="%4"/>
      <w:lvlJc w:val="left"/>
      <w:pPr>
        <w:ind w:left="282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4" w:tplc="FA24F51A">
      <w:start w:val="1"/>
      <w:numFmt w:val="lowerLetter"/>
      <w:lvlText w:val="%5"/>
      <w:lvlJc w:val="left"/>
      <w:pPr>
        <w:ind w:left="354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5" w:tplc="66A43DB2">
      <w:start w:val="1"/>
      <w:numFmt w:val="lowerRoman"/>
      <w:lvlText w:val="%6"/>
      <w:lvlJc w:val="left"/>
      <w:pPr>
        <w:ind w:left="426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6" w:tplc="43AA31B4">
      <w:start w:val="1"/>
      <w:numFmt w:val="decimal"/>
      <w:lvlText w:val="%7"/>
      <w:lvlJc w:val="left"/>
      <w:pPr>
        <w:ind w:left="498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7" w:tplc="4B52E3CE">
      <w:start w:val="1"/>
      <w:numFmt w:val="lowerLetter"/>
      <w:lvlText w:val="%8"/>
      <w:lvlJc w:val="left"/>
      <w:pPr>
        <w:ind w:left="570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8" w:tplc="E1725DC6">
      <w:start w:val="1"/>
      <w:numFmt w:val="lowerRoman"/>
      <w:lvlText w:val="%9"/>
      <w:lvlJc w:val="left"/>
      <w:pPr>
        <w:ind w:left="642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abstractNum>
  <w:abstractNum w:abstractNumId="9" w15:restartNumberingAfterBreak="0">
    <w:nsid w:val="79057C21"/>
    <w:multiLevelType w:val="multilevel"/>
    <w:tmpl w:val="801C46A4"/>
    <w:lvl w:ilvl="0">
      <w:start w:val="5"/>
      <w:numFmt w:val="decimal"/>
      <w:lvlText w:val="%1"/>
      <w:lvlJc w:val="left"/>
      <w:pPr>
        <w:ind w:left="36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1">
      <w:start w:val="6"/>
      <w:numFmt w:val="decimal"/>
      <w:lvlText w:val="%1.%2"/>
      <w:lvlJc w:val="left"/>
      <w:pPr>
        <w:ind w:left="455"/>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2">
      <w:start w:val="1"/>
      <w:numFmt w:val="decimal"/>
      <w:lvlRestart w:val="0"/>
      <w:lvlText w:val="%1.%2.%3"/>
      <w:lvlJc w:val="left"/>
      <w:pPr>
        <w:ind w:left="815"/>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3">
      <w:start w:val="1"/>
      <w:numFmt w:val="decimal"/>
      <w:lvlText w:val="%4"/>
      <w:lvlJc w:val="left"/>
      <w:pPr>
        <w:ind w:left="127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4">
      <w:start w:val="1"/>
      <w:numFmt w:val="lowerLetter"/>
      <w:lvlText w:val="%5"/>
      <w:lvlJc w:val="left"/>
      <w:pPr>
        <w:ind w:left="199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5">
      <w:start w:val="1"/>
      <w:numFmt w:val="lowerRoman"/>
      <w:lvlText w:val="%6"/>
      <w:lvlJc w:val="left"/>
      <w:pPr>
        <w:ind w:left="271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6">
      <w:start w:val="1"/>
      <w:numFmt w:val="decimal"/>
      <w:lvlText w:val="%7"/>
      <w:lvlJc w:val="left"/>
      <w:pPr>
        <w:ind w:left="343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7">
      <w:start w:val="1"/>
      <w:numFmt w:val="lowerLetter"/>
      <w:lvlText w:val="%8"/>
      <w:lvlJc w:val="left"/>
      <w:pPr>
        <w:ind w:left="415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8">
      <w:start w:val="1"/>
      <w:numFmt w:val="lowerRoman"/>
      <w:lvlText w:val="%9"/>
      <w:lvlJc w:val="left"/>
      <w:pPr>
        <w:ind w:left="487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abstractNum>
  <w:abstractNum w:abstractNumId="10" w15:restartNumberingAfterBreak="0">
    <w:nsid w:val="79F61464"/>
    <w:multiLevelType w:val="multilevel"/>
    <w:tmpl w:val="0E96D0BA"/>
    <w:lvl w:ilvl="0">
      <w:start w:val="5"/>
      <w:numFmt w:val="decimal"/>
      <w:lvlText w:val="%1"/>
      <w:lvlJc w:val="left"/>
      <w:pPr>
        <w:ind w:left="36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1">
      <w:start w:val="8"/>
      <w:numFmt w:val="decimal"/>
      <w:lvlText w:val="%1.%2"/>
      <w:lvlJc w:val="left"/>
      <w:pPr>
        <w:ind w:left="423"/>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2">
      <w:start w:val="1"/>
      <w:numFmt w:val="decimal"/>
      <w:lvlText w:val="%1.%2.%3"/>
      <w:lvlJc w:val="left"/>
      <w:pPr>
        <w:ind w:left="486"/>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3">
      <w:start w:val="1"/>
      <w:numFmt w:val="decimal"/>
      <w:lvlRestart w:val="0"/>
      <w:lvlText w:val="%1.%2.%3.%4"/>
      <w:lvlJc w:val="left"/>
      <w:pPr>
        <w:ind w:left="846"/>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4">
      <w:start w:val="1"/>
      <w:numFmt w:val="lowerLetter"/>
      <w:lvlText w:val="%5"/>
      <w:lvlJc w:val="left"/>
      <w:pPr>
        <w:ind w:left="127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5">
      <w:start w:val="1"/>
      <w:numFmt w:val="lowerRoman"/>
      <w:lvlText w:val="%6"/>
      <w:lvlJc w:val="left"/>
      <w:pPr>
        <w:ind w:left="199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6">
      <w:start w:val="1"/>
      <w:numFmt w:val="decimal"/>
      <w:lvlText w:val="%7"/>
      <w:lvlJc w:val="left"/>
      <w:pPr>
        <w:ind w:left="271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7">
      <w:start w:val="1"/>
      <w:numFmt w:val="lowerLetter"/>
      <w:lvlText w:val="%8"/>
      <w:lvlJc w:val="left"/>
      <w:pPr>
        <w:ind w:left="343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lvl w:ilvl="8">
      <w:start w:val="1"/>
      <w:numFmt w:val="lowerRoman"/>
      <w:lvlText w:val="%9"/>
      <w:lvlJc w:val="left"/>
      <w:pPr>
        <w:ind w:left="4150"/>
      </w:pPr>
      <w:rPr>
        <w:rFonts w:ascii="Times New Roman" w:eastAsia="Times New Roman" w:hAnsi="Times New Roman" w:cs="Times New Roman"/>
        <w:b w:val="0"/>
        <w:i w:val="0"/>
        <w:strike w:val="0"/>
        <w:dstrike w:val="0"/>
        <w:color w:val="221F1F"/>
        <w:sz w:val="20"/>
        <w:szCs w:val="20"/>
        <w:u w:val="none" w:color="000000"/>
        <w:bdr w:val="none" w:sz="0" w:space="0" w:color="auto"/>
        <w:shd w:val="clear" w:color="auto" w:fill="auto"/>
        <w:vertAlign w:val="baseline"/>
      </w:rPr>
    </w:lvl>
  </w:abstractNum>
  <w:abstractNum w:abstractNumId="11" w15:restartNumberingAfterBreak="0">
    <w:nsid w:val="7DD52970"/>
    <w:multiLevelType w:val="hybridMultilevel"/>
    <w:tmpl w:val="DE981456"/>
    <w:lvl w:ilvl="0" w:tplc="721C20C2">
      <w:start w:val="1"/>
      <w:numFmt w:val="decimal"/>
      <w:lvlText w:val="(%1)"/>
      <w:lvlJc w:val="left"/>
      <w:pPr>
        <w:ind w:left="0"/>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1" w:tplc="F4366E8C">
      <w:start w:val="1"/>
      <w:numFmt w:val="lowerLetter"/>
      <w:lvlText w:val="%2"/>
      <w:lvlJc w:val="left"/>
      <w:pPr>
        <w:ind w:left="138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2" w:tplc="50FA1080">
      <w:start w:val="1"/>
      <w:numFmt w:val="lowerRoman"/>
      <w:lvlText w:val="%3"/>
      <w:lvlJc w:val="left"/>
      <w:pPr>
        <w:ind w:left="210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3" w:tplc="7444B96C">
      <w:start w:val="1"/>
      <w:numFmt w:val="decimal"/>
      <w:lvlText w:val="%4"/>
      <w:lvlJc w:val="left"/>
      <w:pPr>
        <w:ind w:left="282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4" w:tplc="1B167D64">
      <w:start w:val="1"/>
      <w:numFmt w:val="lowerLetter"/>
      <w:lvlText w:val="%5"/>
      <w:lvlJc w:val="left"/>
      <w:pPr>
        <w:ind w:left="354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5" w:tplc="F8849C54">
      <w:start w:val="1"/>
      <w:numFmt w:val="lowerRoman"/>
      <w:lvlText w:val="%6"/>
      <w:lvlJc w:val="left"/>
      <w:pPr>
        <w:ind w:left="426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6" w:tplc="CD9EC774">
      <w:start w:val="1"/>
      <w:numFmt w:val="decimal"/>
      <w:lvlText w:val="%7"/>
      <w:lvlJc w:val="left"/>
      <w:pPr>
        <w:ind w:left="498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7" w:tplc="26969936">
      <w:start w:val="1"/>
      <w:numFmt w:val="lowerLetter"/>
      <w:lvlText w:val="%8"/>
      <w:lvlJc w:val="left"/>
      <w:pPr>
        <w:ind w:left="570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lvl w:ilvl="8" w:tplc="3D94D7E0">
      <w:start w:val="1"/>
      <w:numFmt w:val="lowerRoman"/>
      <w:lvlText w:val="%9"/>
      <w:lvlJc w:val="left"/>
      <w:pPr>
        <w:ind w:left="6429"/>
      </w:pPr>
      <w:rPr>
        <w:rFonts w:ascii="Times New Roman" w:eastAsia="Times New Roman" w:hAnsi="Times New Roman" w:cs="Times New Roman"/>
        <w:b w:val="0"/>
        <w:i/>
        <w:iCs/>
        <w:strike w:val="0"/>
        <w:dstrike w:val="0"/>
        <w:color w:val="221F1F"/>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7"/>
  </w:num>
  <w:num w:numId="4">
    <w:abstractNumId w:val="10"/>
  </w:num>
  <w:num w:numId="5">
    <w:abstractNumId w:val="9"/>
  </w:num>
  <w:num w:numId="6">
    <w:abstractNumId w:val="4"/>
  </w:num>
  <w:num w:numId="7">
    <w:abstractNumId w:val="6"/>
  </w:num>
  <w:num w:numId="8">
    <w:abstractNumId w:val="8"/>
  </w:num>
  <w:num w:numId="9">
    <w:abstractNumId w:val="11"/>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97E"/>
    <w:rsid w:val="00010C0D"/>
    <w:rsid w:val="00022A88"/>
    <w:rsid w:val="000B34D4"/>
    <w:rsid w:val="0012053B"/>
    <w:rsid w:val="001227CF"/>
    <w:rsid w:val="00176F09"/>
    <w:rsid w:val="001A5E51"/>
    <w:rsid w:val="0026097E"/>
    <w:rsid w:val="00284695"/>
    <w:rsid w:val="002B32BD"/>
    <w:rsid w:val="002C571D"/>
    <w:rsid w:val="00412682"/>
    <w:rsid w:val="00544D6C"/>
    <w:rsid w:val="00587183"/>
    <w:rsid w:val="005F06FF"/>
    <w:rsid w:val="0071718B"/>
    <w:rsid w:val="00735C3F"/>
    <w:rsid w:val="0074743A"/>
    <w:rsid w:val="00751247"/>
    <w:rsid w:val="00797A26"/>
    <w:rsid w:val="008451D1"/>
    <w:rsid w:val="00873522"/>
    <w:rsid w:val="008807AE"/>
    <w:rsid w:val="008E2B3B"/>
    <w:rsid w:val="00992950"/>
    <w:rsid w:val="00993629"/>
    <w:rsid w:val="00993804"/>
    <w:rsid w:val="009A0AA3"/>
    <w:rsid w:val="00A008C1"/>
    <w:rsid w:val="00AC4723"/>
    <w:rsid w:val="00BF0BE8"/>
    <w:rsid w:val="00C60A63"/>
    <w:rsid w:val="00CA47B1"/>
    <w:rsid w:val="00D667CB"/>
    <w:rsid w:val="00DF6756"/>
    <w:rsid w:val="00E31B75"/>
    <w:rsid w:val="00E406F4"/>
    <w:rsid w:val="00E44629"/>
    <w:rsid w:val="00EC1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80713"/>
  <w15:docId w15:val="{EE760D80-FE42-4E0C-94F6-54747D34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7" w:line="249" w:lineRule="auto"/>
      <w:ind w:firstLine="180"/>
      <w:jc w:val="both"/>
    </w:pPr>
    <w:rPr>
      <w:rFonts w:ascii="Times New Roman" w:eastAsia="Times New Roman" w:hAnsi="Times New Roman" w:cs="Times New Roman"/>
      <w:color w:val="221F1F"/>
      <w:sz w:val="20"/>
    </w:rPr>
  </w:style>
  <w:style w:type="paragraph" w:styleId="1">
    <w:name w:val="heading 1"/>
    <w:next w:val="a"/>
    <w:link w:val="10"/>
    <w:uiPriority w:val="9"/>
    <w:qFormat/>
    <w:pPr>
      <w:keepNext/>
      <w:keepLines/>
      <w:spacing w:after="184" w:line="259" w:lineRule="auto"/>
      <w:ind w:left="1137"/>
      <w:outlineLvl w:val="0"/>
    </w:pPr>
    <w:rPr>
      <w:rFonts w:ascii="Arial" w:eastAsia="Arial" w:hAnsi="Arial" w:cs="Arial"/>
      <w:b/>
      <w:color w:val="221F1F"/>
      <w:sz w:val="28"/>
    </w:rPr>
  </w:style>
  <w:style w:type="paragraph" w:styleId="2">
    <w:name w:val="heading 2"/>
    <w:next w:val="a"/>
    <w:link w:val="20"/>
    <w:uiPriority w:val="9"/>
    <w:unhideWhenUsed/>
    <w:qFormat/>
    <w:pPr>
      <w:keepNext/>
      <w:keepLines/>
      <w:spacing w:after="94" w:line="249" w:lineRule="auto"/>
      <w:ind w:left="10" w:hanging="10"/>
      <w:outlineLvl w:val="1"/>
    </w:pPr>
    <w:rPr>
      <w:rFonts w:ascii="Times New Roman" w:eastAsia="Times New Roman" w:hAnsi="Times New Roman" w:cs="Times New Roman"/>
      <w:b/>
      <w:color w:val="221F1F"/>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
    <w:rPr>
      <w:rFonts w:ascii="Arial" w:eastAsia="Arial" w:hAnsi="Arial" w:cs="Arial"/>
      <w:b/>
      <w:color w:val="221F1F"/>
      <w:sz w:val="28"/>
    </w:rPr>
  </w:style>
  <w:style w:type="paragraph" w:customStyle="1" w:styleId="footnotedescription">
    <w:name w:val="footnote description"/>
    <w:next w:val="a"/>
    <w:link w:val="footnotedescriptionChar"/>
    <w:hidden/>
    <w:pPr>
      <w:spacing w:line="270" w:lineRule="auto"/>
      <w:ind w:firstLine="190"/>
    </w:pPr>
    <w:rPr>
      <w:rFonts w:ascii="Times New Roman" w:eastAsia="Times New Roman" w:hAnsi="Times New Roman" w:cs="Times New Roman"/>
      <w:color w:val="221F1F"/>
      <w:sz w:val="15"/>
    </w:rPr>
  </w:style>
  <w:style w:type="character" w:customStyle="1" w:styleId="footnotedescriptionChar">
    <w:name w:val="footnote description Char"/>
    <w:link w:val="footnotedescription"/>
    <w:rPr>
      <w:rFonts w:ascii="Times New Roman" w:eastAsia="Times New Roman" w:hAnsi="Times New Roman" w:cs="Times New Roman"/>
      <w:color w:val="221F1F"/>
      <w:sz w:val="15"/>
    </w:rPr>
  </w:style>
  <w:style w:type="character" w:customStyle="1" w:styleId="20">
    <w:name w:val="标题 2 字符"/>
    <w:link w:val="2"/>
    <w:uiPriority w:val="9"/>
    <w:rPr>
      <w:rFonts w:ascii="Times New Roman" w:eastAsia="Times New Roman" w:hAnsi="Times New Roman" w:cs="Times New Roman"/>
      <w:b/>
      <w:color w:val="221F1F"/>
      <w:sz w:val="20"/>
    </w:rPr>
  </w:style>
  <w:style w:type="character" w:customStyle="1" w:styleId="footnotemark">
    <w:name w:val="footnote mark"/>
    <w:hidden/>
    <w:rPr>
      <w:rFonts w:ascii="Times New Roman" w:eastAsia="Times New Roman" w:hAnsi="Times New Roman" w:cs="Times New Roman"/>
      <w:color w:val="221F1F"/>
      <w:sz w:val="14"/>
      <w:vertAlign w:val="superscript"/>
    </w:rPr>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0B3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C1A52"/>
    <w:pPr>
      <w:tabs>
        <w:tab w:val="center" w:pos="4153"/>
        <w:tab w:val="right" w:pos="8306"/>
      </w:tabs>
      <w:snapToGrid w:val="0"/>
      <w:spacing w:line="240" w:lineRule="auto"/>
      <w:jc w:val="left"/>
    </w:pPr>
    <w:rPr>
      <w:sz w:val="18"/>
      <w:szCs w:val="18"/>
    </w:rPr>
  </w:style>
  <w:style w:type="character" w:customStyle="1" w:styleId="a5">
    <w:name w:val="页脚 字符"/>
    <w:basedOn w:val="a0"/>
    <w:link w:val="a4"/>
    <w:uiPriority w:val="99"/>
    <w:rsid w:val="00EC1A52"/>
    <w:rPr>
      <w:rFonts w:ascii="Times New Roman" w:eastAsia="Times New Roman" w:hAnsi="Times New Roman" w:cs="Times New Roman"/>
      <w:color w:val="221F1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7254">
      <w:bodyDiv w:val="1"/>
      <w:marLeft w:val="0"/>
      <w:marRight w:val="0"/>
      <w:marTop w:val="0"/>
      <w:marBottom w:val="0"/>
      <w:divBdr>
        <w:top w:val="none" w:sz="0" w:space="0" w:color="auto"/>
        <w:left w:val="none" w:sz="0" w:space="0" w:color="auto"/>
        <w:bottom w:val="none" w:sz="0" w:space="0" w:color="auto"/>
        <w:right w:val="none" w:sz="0" w:space="0" w:color="auto"/>
      </w:divBdr>
      <w:divsChild>
        <w:div w:id="117838318">
          <w:marLeft w:val="0"/>
          <w:marRight w:val="0"/>
          <w:marTop w:val="0"/>
          <w:marBottom w:val="0"/>
          <w:divBdr>
            <w:top w:val="none" w:sz="0" w:space="0" w:color="auto"/>
            <w:left w:val="none" w:sz="0" w:space="0" w:color="auto"/>
            <w:bottom w:val="none" w:sz="0" w:space="0" w:color="auto"/>
            <w:right w:val="none" w:sz="0" w:space="0" w:color="auto"/>
          </w:divBdr>
          <w:divsChild>
            <w:div w:id="1273561345">
              <w:marLeft w:val="0"/>
              <w:marRight w:val="0"/>
              <w:marTop w:val="0"/>
              <w:marBottom w:val="0"/>
              <w:divBdr>
                <w:top w:val="none" w:sz="0" w:space="0" w:color="auto"/>
                <w:left w:val="none" w:sz="0" w:space="0" w:color="auto"/>
                <w:bottom w:val="none" w:sz="0" w:space="0" w:color="auto"/>
                <w:right w:val="none" w:sz="0" w:space="0" w:color="auto"/>
              </w:divBdr>
              <w:divsChild>
                <w:div w:id="295527713">
                  <w:marLeft w:val="0"/>
                  <w:marRight w:val="0"/>
                  <w:marTop w:val="0"/>
                  <w:marBottom w:val="0"/>
                  <w:divBdr>
                    <w:top w:val="none" w:sz="0" w:space="0" w:color="auto"/>
                    <w:left w:val="none" w:sz="0" w:space="0" w:color="auto"/>
                    <w:bottom w:val="none" w:sz="0" w:space="0" w:color="auto"/>
                    <w:right w:val="none" w:sz="0" w:space="0" w:color="auto"/>
                  </w:divBdr>
                  <w:divsChild>
                    <w:div w:id="2125464567">
                      <w:marLeft w:val="0"/>
                      <w:marRight w:val="0"/>
                      <w:marTop w:val="0"/>
                      <w:marBottom w:val="0"/>
                      <w:divBdr>
                        <w:top w:val="none" w:sz="0" w:space="0" w:color="auto"/>
                        <w:left w:val="none" w:sz="0" w:space="0" w:color="auto"/>
                        <w:bottom w:val="none" w:sz="0" w:space="0" w:color="auto"/>
                        <w:right w:val="none" w:sz="0" w:space="0" w:color="auto"/>
                      </w:divBdr>
                      <w:divsChild>
                        <w:div w:id="1153259860">
                          <w:marLeft w:val="0"/>
                          <w:marRight w:val="0"/>
                          <w:marTop w:val="0"/>
                          <w:marBottom w:val="0"/>
                          <w:divBdr>
                            <w:top w:val="none" w:sz="0" w:space="0" w:color="auto"/>
                            <w:left w:val="none" w:sz="0" w:space="0" w:color="auto"/>
                            <w:bottom w:val="none" w:sz="0" w:space="0" w:color="auto"/>
                            <w:right w:val="none" w:sz="0" w:space="0" w:color="auto"/>
                          </w:divBdr>
                          <w:divsChild>
                            <w:div w:id="266894009">
                              <w:marLeft w:val="0"/>
                              <w:marRight w:val="300"/>
                              <w:marTop w:val="180"/>
                              <w:marBottom w:val="0"/>
                              <w:divBdr>
                                <w:top w:val="none" w:sz="0" w:space="0" w:color="auto"/>
                                <w:left w:val="none" w:sz="0" w:space="0" w:color="auto"/>
                                <w:bottom w:val="none" w:sz="0" w:space="0" w:color="auto"/>
                                <w:right w:val="none" w:sz="0" w:space="0" w:color="auto"/>
                              </w:divBdr>
                              <w:divsChild>
                                <w:div w:id="168586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021833">
          <w:marLeft w:val="0"/>
          <w:marRight w:val="0"/>
          <w:marTop w:val="0"/>
          <w:marBottom w:val="0"/>
          <w:divBdr>
            <w:top w:val="none" w:sz="0" w:space="0" w:color="auto"/>
            <w:left w:val="none" w:sz="0" w:space="0" w:color="auto"/>
            <w:bottom w:val="none" w:sz="0" w:space="0" w:color="auto"/>
            <w:right w:val="none" w:sz="0" w:space="0" w:color="auto"/>
          </w:divBdr>
          <w:divsChild>
            <w:div w:id="87580563">
              <w:marLeft w:val="0"/>
              <w:marRight w:val="0"/>
              <w:marTop w:val="0"/>
              <w:marBottom w:val="0"/>
              <w:divBdr>
                <w:top w:val="none" w:sz="0" w:space="0" w:color="auto"/>
                <w:left w:val="none" w:sz="0" w:space="0" w:color="auto"/>
                <w:bottom w:val="none" w:sz="0" w:space="0" w:color="auto"/>
                <w:right w:val="none" w:sz="0" w:space="0" w:color="auto"/>
              </w:divBdr>
              <w:divsChild>
                <w:div w:id="419063885">
                  <w:marLeft w:val="0"/>
                  <w:marRight w:val="0"/>
                  <w:marTop w:val="0"/>
                  <w:marBottom w:val="0"/>
                  <w:divBdr>
                    <w:top w:val="none" w:sz="0" w:space="0" w:color="auto"/>
                    <w:left w:val="none" w:sz="0" w:space="0" w:color="auto"/>
                    <w:bottom w:val="none" w:sz="0" w:space="0" w:color="auto"/>
                    <w:right w:val="none" w:sz="0" w:space="0" w:color="auto"/>
                  </w:divBdr>
                  <w:divsChild>
                    <w:div w:id="1754619885">
                      <w:marLeft w:val="0"/>
                      <w:marRight w:val="0"/>
                      <w:marTop w:val="0"/>
                      <w:marBottom w:val="0"/>
                      <w:divBdr>
                        <w:top w:val="none" w:sz="0" w:space="0" w:color="auto"/>
                        <w:left w:val="none" w:sz="0" w:space="0" w:color="auto"/>
                        <w:bottom w:val="none" w:sz="0" w:space="0" w:color="auto"/>
                        <w:right w:val="none" w:sz="0" w:space="0" w:color="auto"/>
                      </w:divBdr>
                      <w:divsChild>
                        <w:div w:id="1835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491">
      <w:bodyDiv w:val="1"/>
      <w:marLeft w:val="0"/>
      <w:marRight w:val="0"/>
      <w:marTop w:val="0"/>
      <w:marBottom w:val="0"/>
      <w:divBdr>
        <w:top w:val="none" w:sz="0" w:space="0" w:color="auto"/>
        <w:left w:val="none" w:sz="0" w:space="0" w:color="auto"/>
        <w:bottom w:val="none" w:sz="0" w:space="0" w:color="auto"/>
        <w:right w:val="none" w:sz="0" w:space="0" w:color="auto"/>
      </w:divBdr>
      <w:divsChild>
        <w:div w:id="1698576175">
          <w:marLeft w:val="0"/>
          <w:marRight w:val="0"/>
          <w:marTop w:val="0"/>
          <w:marBottom w:val="0"/>
          <w:divBdr>
            <w:top w:val="none" w:sz="0" w:space="0" w:color="auto"/>
            <w:left w:val="none" w:sz="0" w:space="0" w:color="auto"/>
            <w:bottom w:val="none" w:sz="0" w:space="0" w:color="auto"/>
            <w:right w:val="none" w:sz="0" w:space="0" w:color="auto"/>
          </w:divBdr>
          <w:divsChild>
            <w:div w:id="159778208">
              <w:marLeft w:val="0"/>
              <w:marRight w:val="0"/>
              <w:marTop w:val="0"/>
              <w:marBottom w:val="0"/>
              <w:divBdr>
                <w:top w:val="none" w:sz="0" w:space="0" w:color="auto"/>
                <w:left w:val="none" w:sz="0" w:space="0" w:color="auto"/>
                <w:bottom w:val="none" w:sz="0" w:space="0" w:color="auto"/>
                <w:right w:val="none" w:sz="0" w:space="0" w:color="auto"/>
              </w:divBdr>
              <w:divsChild>
                <w:div w:id="1625887155">
                  <w:marLeft w:val="0"/>
                  <w:marRight w:val="0"/>
                  <w:marTop w:val="0"/>
                  <w:marBottom w:val="0"/>
                  <w:divBdr>
                    <w:top w:val="none" w:sz="0" w:space="0" w:color="auto"/>
                    <w:left w:val="none" w:sz="0" w:space="0" w:color="auto"/>
                    <w:bottom w:val="none" w:sz="0" w:space="0" w:color="auto"/>
                    <w:right w:val="none" w:sz="0" w:space="0" w:color="auto"/>
                  </w:divBdr>
                  <w:divsChild>
                    <w:div w:id="1836338838">
                      <w:marLeft w:val="0"/>
                      <w:marRight w:val="0"/>
                      <w:marTop w:val="0"/>
                      <w:marBottom w:val="0"/>
                      <w:divBdr>
                        <w:top w:val="none" w:sz="0" w:space="0" w:color="auto"/>
                        <w:left w:val="none" w:sz="0" w:space="0" w:color="auto"/>
                        <w:bottom w:val="none" w:sz="0" w:space="0" w:color="auto"/>
                        <w:right w:val="none" w:sz="0" w:space="0" w:color="auto"/>
                      </w:divBdr>
                      <w:divsChild>
                        <w:div w:id="314451797">
                          <w:marLeft w:val="0"/>
                          <w:marRight w:val="0"/>
                          <w:marTop w:val="0"/>
                          <w:marBottom w:val="0"/>
                          <w:divBdr>
                            <w:top w:val="none" w:sz="0" w:space="0" w:color="auto"/>
                            <w:left w:val="none" w:sz="0" w:space="0" w:color="auto"/>
                            <w:bottom w:val="none" w:sz="0" w:space="0" w:color="auto"/>
                            <w:right w:val="none" w:sz="0" w:space="0" w:color="auto"/>
                          </w:divBdr>
                          <w:divsChild>
                            <w:div w:id="1563246413">
                              <w:marLeft w:val="0"/>
                              <w:marRight w:val="300"/>
                              <w:marTop w:val="180"/>
                              <w:marBottom w:val="0"/>
                              <w:divBdr>
                                <w:top w:val="none" w:sz="0" w:space="0" w:color="auto"/>
                                <w:left w:val="none" w:sz="0" w:space="0" w:color="auto"/>
                                <w:bottom w:val="none" w:sz="0" w:space="0" w:color="auto"/>
                                <w:right w:val="none" w:sz="0" w:space="0" w:color="auto"/>
                              </w:divBdr>
                              <w:divsChild>
                                <w:div w:id="114701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869971">
          <w:marLeft w:val="0"/>
          <w:marRight w:val="0"/>
          <w:marTop w:val="0"/>
          <w:marBottom w:val="0"/>
          <w:divBdr>
            <w:top w:val="none" w:sz="0" w:space="0" w:color="auto"/>
            <w:left w:val="none" w:sz="0" w:space="0" w:color="auto"/>
            <w:bottom w:val="none" w:sz="0" w:space="0" w:color="auto"/>
            <w:right w:val="none" w:sz="0" w:space="0" w:color="auto"/>
          </w:divBdr>
          <w:divsChild>
            <w:div w:id="1742749404">
              <w:marLeft w:val="0"/>
              <w:marRight w:val="0"/>
              <w:marTop w:val="0"/>
              <w:marBottom w:val="0"/>
              <w:divBdr>
                <w:top w:val="none" w:sz="0" w:space="0" w:color="auto"/>
                <w:left w:val="none" w:sz="0" w:space="0" w:color="auto"/>
                <w:bottom w:val="none" w:sz="0" w:space="0" w:color="auto"/>
                <w:right w:val="none" w:sz="0" w:space="0" w:color="auto"/>
              </w:divBdr>
              <w:divsChild>
                <w:div w:id="168568397">
                  <w:marLeft w:val="0"/>
                  <w:marRight w:val="0"/>
                  <w:marTop w:val="0"/>
                  <w:marBottom w:val="0"/>
                  <w:divBdr>
                    <w:top w:val="none" w:sz="0" w:space="0" w:color="auto"/>
                    <w:left w:val="none" w:sz="0" w:space="0" w:color="auto"/>
                    <w:bottom w:val="none" w:sz="0" w:space="0" w:color="auto"/>
                    <w:right w:val="none" w:sz="0" w:space="0" w:color="auto"/>
                  </w:divBdr>
                  <w:divsChild>
                    <w:div w:id="1803036361">
                      <w:marLeft w:val="0"/>
                      <w:marRight w:val="0"/>
                      <w:marTop w:val="0"/>
                      <w:marBottom w:val="0"/>
                      <w:divBdr>
                        <w:top w:val="none" w:sz="0" w:space="0" w:color="auto"/>
                        <w:left w:val="none" w:sz="0" w:space="0" w:color="auto"/>
                        <w:bottom w:val="none" w:sz="0" w:space="0" w:color="auto"/>
                        <w:right w:val="none" w:sz="0" w:space="0" w:color="auto"/>
                      </w:divBdr>
                      <w:divsChild>
                        <w:div w:id="4969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84719">
      <w:bodyDiv w:val="1"/>
      <w:marLeft w:val="0"/>
      <w:marRight w:val="0"/>
      <w:marTop w:val="0"/>
      <w:marBottom w:val="0"/>
      <w:divBdr>
        <w:top w:val="none" w:sz="0" w:space="0" w:color="auto"/>
        <w:left w:val="none" w:sz="0" w:space="0" w:color="auto"/>
        <w:bottom w:val="none" w:sz="0" w:space="0" w:color="auto"/>
        <w:right w:val="none" w:sz="0" w:space="0" w:color="auto"/>
      </w:divBdr>
      <w:divsChild>
        <w:div w:id="1052077818">
          <w:marLeft w:val="0"/>
          <w:marRight w:val="0"/>
          <w:marTop w:val="0"/>
          <w:marBottom w:val="0"/>
          <w:divBdr>
            <w:top w:val="none" w:sz="0" w:space="0" w:color="auto"/>
            <w:left w:val="none" w:sz="0" w:space="0" w:color="auto"/>
            <w:bottom w:val="none" w:sz="0" w:space="0" w:color="auto"/>
            <w:right w:val="none" w:sz="0" w:space="0" w:color="auto"/>
          </w:divBdr>
          <w:divsChild>
            <w:div w:id="566964262">
              <w:marLeft w:val="0"/>
              <w:marRight w:val="0"/>
              <w:marTop w:val="0"/>
              <w:marBottom w:val="0"/>
              <w:divBdr>
                <w:top w:val="none" w:sz="0" w:space="0" w:color="auto"/>
                <w:left w:val="none" w:sz="0" w:space="0" w:color="auto"/>
                <w:bottom w:val="none" w:sz="0" w:space="0" w:color="auto"/>
                <w:right w:val="none" w:sz="0" w:space="0" w:color="auto"/>
              </w:divBdr>
              <w:divsChild>
                <w:div w:id="1819418590">
                  <w:marLeft w:val="0"/>
                  <w:marRight w:val="0"/>
                  <w:marTop w:val="0"/>
                  <w:marBottom w:val="0"/>
                  <w:divBdr>
                    <w:top w:val="none" w:sz="0" w:space="0" w:color="auto"/>
                    <w:left w:val="none" w:sz="0" w:space="0" w:color="auto"/>
                    <w:bottom w:val="none" w:sz="0" w:space="0" w:color="auto"/>
                    <w:right w:val="none" w:sz="0" w:space="0" w:color="auto"/>
                  </w:divBdr>
                  <w:divsChild>
                    <w:div w:id="166870056">
                      <w:marLeft w:val="0"/>
                      <w:marRight w:val="0"/>
                      <w:marTop w:val="0"/>
                      <w:marBottom w:val="0"/>
                      <w:divBdr>
                        <w:top w:val="none" w:sz="0" w:space="0" w:color="auto"/>
                        <w:left w:val="none" w:sz="0" w:space="0" w:color="auto"/>
                        <w:bottom w:val="none" w:sz="0" w:space="0" w:color="auto"/>
                        <w:right w:val="none" w:sz="0" w:space="0" w:color="auto"/>
                      </w:divBdr>
                      <w:divsChild>
                        <w:div w:id="1515732182">
                          <w:marLeft w:val="0"/>
                          <w:marRight w:val="0"/>
                          <w:marTop w:val="0"/>
                          <w:marBottom w:val="0"/>
                          <w:divBdr>
                            <w:top w:val="none" w:sz="0" w:space="0" w:color="auto"/>
                            <w:left w:val="none" w:sz="0" w:space="0" w:color="auto"/>
                            <w:bottom w:val="none" w:sz="0" w:space="0" w:color="auto"/>
                            <w:right w:val="none" w:sz="0" w:space="0" w:color="auto"/>
                          </w:divBdr>
                          <w:divsChild>
                            <w:div w:id="1634748907">
                              <w:marLeft w:val="0"/>
                              <w:marRight w:val="300"/>
                              <w:marTop w:val="180"/>
                              <w:marBottom w:val="0"/>
                              <w:divBdr>
                                <w:top w:val="none" w:sz="0" w:space="0" w:color="auto"/>
                                <w:left w:val="none" w:sz="0" w:space="0" w:color="auto"/>
                                <w:bottom w:val="none" w:sz="0" w:space="0" w:color="auto"/>
                                <w:right w:val="none" w:sz="0" w:space="0" w:color="auto"/>
                              </w:divBdr>
                              <w:divsChild>
                                <w:div w:id="18426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762858">
          <w:marLeft w:val="0"/>
          <w:marRight w:val="0"/>
          <w:marTop w:val="0"/>
          <w:marBottom w:val="0"/>
          <w:divBdr>
            <w:top w:val="none" w:sz="0" w:space="0" w:color="auto"/>
            <w:left w:val="none" w:sz="0" w:space="0" w:color="auto"/>
            <w:bottom w:val="none" w:sz="0" w:space="0" w:color="auto"/>
            <w:right w:val="none" w:sz="0" w:space="0" w:color="auto"/>
          </w:divBdr>
          <w:divsChild>
            <w:div w:id="12416350">
              <w:marLeft w:val="0"/>
              <w:marRight w:val="0"/>
              <w:marTop w:val="0"/>
              <w:marBottom w:val="0"/>
              <w:divBdr>
                <w:top w:val="none" w:sz="0" w:space="0" w:color="auto"/>
                <w:left w:val="none" w:sz="0" w:space="0" w:color="auto"/>
                <w:bottom w:val="none" w:sz="0" w:space="0" w:color="auto"/>
                <w:right w:val="none" w:sz="0" w:space="0" w:color="auto"/>
              </w:divBdr>
              <w:divsChild>
                <w:div w:id="740251414">
                  <w:marLeft w:val="0"/>
                  <w:marRight w:val="0"/>
                  <w:marTop w:val="0"/>
                  <w:marBottom w:val="0"/>
                  <w:divBdr>
                    <w:top w:val="none" w:sz="0" w:space="0" w:color="auto"/>
                    <w:left w:val="none" w:sz="0" w:space="0" w:color="auto"/>
                    <w:bottom w:val="none" w:sz="0" w:space="0" w:color="auto"/>
                    <w:right w:val="none" w:sz="0" w:space="0" w:color="auto"/>
                  </w:divBdr>
                  <w:divsChild>
                    <w:div w:id="813303236">
                      <w:marLeft w:val="0"/>
                      <w:marRight w:val="0"/>
                      <w:marTop w:val="0"/>
                      <w:marBottom w:val="0"/>
                      <w:divBdr>
                        <w:top w:val="none" w:sz="0" w:space="0" w:color="auto"/>
                        <w:left w:val="none" w:sz="0" w:space="0" w:color="auto"/>
                        <w:bottom w:val="none" w:sz="0" w:space="0" w:color="auto"/>
                        <w:right w:val="none" w:sz="0" w:space="0" w:color="auto"/>
                      </w:divBdr>
                      <w:divsChild>
                        <w:div w:id="2374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978297">
      <w:bodyDiv w:val="1"/>
      <w:marLeft w:val="0"/>
      <w:marRight w:val="0"/>
      <w:marTop w:val="0"/>
      <w:marBottom w:val="0"/>
      <w:divBdr>
        <w:top w:val="none" w:sz="0" w:space="0" w:color="auto"/>
        <w:left w:val="none" w:sz="0" w:space="0" w:color="auto"/>
        <w:bottom w:val="none" w:sz="0" w:space="0" w:color="auto"/>
        <w:right w:val="none" w:sz="0" w:space="0" w:color="auto"/>
      </w:divBdr>
      <w:divsChild>
        <w:div w:id="286087190">
          <w:marLeft w:val="0"/>
          <w:marRight w:val="0"/>
          <w:marTop w:val="0"/>
          <w:marBottom w:val="0"/>
          <w:divBdr>
            <w:top w:val="none" w:sz="0" w:space="0" w:color="auto"/>
            <w:left w:val="none" w:sz="0" w:space="0" w:color="auto"/>
            <w:bottom w:val="none" w:sz="0" w:space="0" w:color="auto"/>
            <w:right w:val="none" w:sz="0" w:space="0" w:color="auto"/>
          </w:divBdr>
          <w:divsChild>
            <w:div w:id="452672563">
              <w:marLeft w:val="0"/>
              <w:marRight w:val="0"/>
              <w:marTop w:val="0"/>
              <w:marBottom w:val="0"/>
              <w:divBdr>
                <w:top w:val="none" w:sz="0" w:space="0" w:color="auto"/>
                <w:left w:val="none" w:sz="0" w:space="0" w:color="auto"/>
                <w:bottom w:val="none" w:sz="0" w:space="0" w:color="auto"/>
                <w:right w:val="none" w:sz="0" w:space="0" w:color="auto"/>
              </w:divBdr>
              <w:divsChild>
                <w:div w:id="1374965192">
                  <w:marLeft w:val="0"/>
                  <w:marRight w:val="0"/>
                  <w:marTop w:val="0"/>
                  <w:marBottom w:val="0"/>
                  <w:divBdr>
                    <w:top w:val="none" w:sz="0" w:space="0" w:color="auto"/>
                    <w:left w:val="none" w:sz="0" w:space="0" w:color="auto"/>
                    <w:bottom w:val="none" w:sz="0" w:space="0" w:color="auto"/>
                    <w:right w:val="none" w:sz="0" w:space="0" w:color="auto"/>
                  </w:divBdr>
                  <w:divsChild>
                    <w:div w:id="96489022">
                      <w:marLeft w:val="0"/>
                      <w:marRight w:val="0"/>
                      <w:marTop w:val="0"/>
                      <w:marBottom w:val="0"/>
                      <w:divBdr>
                        <w:top w:val="none" w:sz="0" w:space="0" w:color="auto"/>
                        <w:left w:val="none" w:sz="0" w:space="0" w:color="auto"/>
                        <w:bottom w:val="none" w:sz="0" w:space="0" w:color="auto"/>
                        <w:right w:val="none" w:sz="0" w:space="0" w:color="auto"/>
                      </w:divBdr>
                      <w:divsChild>
                        <w:div w:id="1176532937">
                          <w:marLeft w:val="0"/>
                          <w:marRight w:val="0"/>
                          <w:marTop w:val="0"/>
                          <w:marBottom w:val="0"/>
                          <w:divBdr>
                            <w:top w:val="none" w:sz="0" w:space="0" w:color="auto"/>
                            <w:left w:val="none" w:sz="0" w:space="0" w:color="auto"/>
                            <w:bottom w:val="none" w:sz="0" w:space="0" w:color="auto"/>
                            <w:right w:val="none" w:sz="0" w:space="0" w:color="auto"/>
                          </w:divBdr>
                          <w:divsChild>
                            <w:div w:id="1825124554">
                              <w:marLeft w:val="0"/>
                              <w:marRight w:val="300"/>
                              <w:marTop w:val="180"/>
                              <w:marBottom w:val="0"/>
                              <w:divBdr>
                                <w:top w:val="none" w:sz="0" w:space="0" w:color="auto"/>
                                <w:left w:val="none" w:sz="0" w:space="0" w:color="auto"/>
                                <w:bottom w:val="none" w:sz="0" w:space="0" w:color="auto"/>
                                <w:right w:val="none" w:sz="0" w:space="0" w:color="auto"/>
                              </w:divBdr>
                              <w:divsChild>
                                <w:div w:id="6188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861328">
          <w:marLeft w:val="0"/>
          <w:marRight w:val="0"/>
          <w:marTop w:val="0"/>
          <w:marBottom w:val="0"/>
          <w:divBdr>
            <w:top w:val="none" w:sz="0" w:space="0" w:color="auto"/>
            <w:left w:val="none" w:sz="0" w:space="0" w:color="auto"/>
            <w:bottom w:val="none" w:sz="0" w:space="0" w:color="auto"/>
            <w:right w:val="none" w:sz="0" w:space="0" w:color="auto"/>
          </w:divBdr>
          <w:divsChild>
            <w:div w:id="1539320721">
              <w:marLeft w:val="0"/>
              <w:marRight w:val="0"/>
              <w:marTop w:val="0"/>
              <w:marBottom w:val="0"/>
              <w:divBdr>
                <w:top w:val="none" w:sz="0" w:space="0" w:color="auto"/>
                <w:left w:val="none" w:sz="0" w:space="0" w:color="auto"/>
                <w:bottom w:val="none" w:sz="0" w:space="0" w:color="auto"/>
                <w:right w:val="none" w:sz="0" w:space="0" w:color="auto"/>
              </w:divBdr>
              <w:divsChild>
                <w:div w:id="790588436">
                  <w:marLeft w:val="0"/>
                  <w:marRight w:val="0"/>
                  <w:marTop w:val="0"/>
                  <w:marBottom w:val="0"/>
                  <w:divBdr>
                    <w:top w:val="none" w:sz="0" w:space="0" w:color="auto"/>
                    <w:left w:val="none" w:sz="0" w:space="0" w:color="auto"/>
                    <w:bottom w:val="none" w:sz="0" w:space="0" w:color="auto"/>
                    <w:right w:val="none" w:sz="0" w:space="0" w:color="auto"/>
                  </w:divBdr>
                  <w:divsChild>
                    <w:div w:id="204373262">
                      <w:marLeft w:val="0"/>
                      <w:marRight w:val="0"/>
                      <w:marTop w:val="0"/>
                      <w:marBottom w:val="0"/>
                      <w:divBdr>
                        <w:top w:val="none" w:sz="0" w:space="0" w:color="auto"/>
                        <w:left w:val="none" w:sz="0" w:space="0" w:color="auto"/>
                        <w:bottom w:val="none" w:sz="0" w:space="0" w:color="auto"/>
                        <w:right w:val="none" w:sz="0" w:space="0" w:color="auto"/>
                      </w:divBdr>
                      <w:divsChild>
                        <w:div w:id="16264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76720">
      <w:bodyDiv w:val="1"/>
      <w:marLeft w:val="0"/>
      <w:marRight w:val="0"/>
      <w:marTop w:val="0"/>
      <w:marBottom w:val="0"/>
      <w:divBdr>
        <w:top w:val="none" w:sz="0" w:space="0" w:color="auto"/>
        <w:left w:val="none" w:sz="0" w:space="0" w:color="auto"/>
        <w:bottom w:val="none" w:sz="0" w:space="0" w:color="auto"/>
        <w:right w:val="none" w:sz="0" w:space="0" w:color="auto"/>
      </w:divBdr>
      <w:divsChild>
        <w:div w:id="1190417209">
          <w:marLeft w:val="0"/>
          <w:marRight w:val="0"/>
          <w:marTop w:val="0"/>
          <w:marBottom w:val="0"/>
          <w:divBdr>
            <w:top w:val="none" w:sz="0" w:space="0" w:color="auto"/>
            <w:left w:val="none" w:sz="0" w:space="0" w:color="auto"/>
            <w:bottom w:val="none" w:sz="0" w:space="0" w:color="auto"/>
            <w:right w:val="none" w:sz="0" w:space="0" w:color="auto"/>
          </w:divBdr>
          <w:divsChild>
            <w:div w:id="1068650490">
              <w:marLeft w:val="0"/>
              <w:marRight w:val="0"/>
              <w:marTop w:val="0"/>
              <w:marBottom w:val="0"/>
              <w:divBdr>
                <w:top w:val="none" w:sz="0" w:space="0" w:color="auto"/>
                <w:left w:val="none" w:sz="0" w:space="0" w:color="auto"/>
                <w:bottom w:val="none" w:sz="0" w:space="0" w:color="auto"/>
                <w:right w:val="none" w:sz="0" w:space="0" w:color="auto"/>
              </w:divBdr>
              <w:divsChild>
                <w:div w:id="1009795612">
                  <w:marLeft w:val="0"/>
                  <w:marRight w:val="0"/>
                  <w:marTop w:val="0"/>
                  <w:marBottom w:val="0"/>
                  <w:divBdr>
                    <w:top w:val="none" w:sz="0" w:space="0" w:color="auto"/>
                    <w:left w:val="none" w:sz="0" w:space="0" w:color="auto"/>
                    <w:bottom w:val="none" w:sz="0" w:space="0" w:color="auto"/>
                    <w:right w:val="none" w:sz="0" w:space="0" w:color="auto"/>
                  </w:divBdr>
                  <w:divsChild>
                    <w:div w:id="1449620920">
                      <w:marLeft w:val="0"/>
                      <w:marRight w:val="0"/>
                      <w:marTop w:val="0"/>
                      <w:marBottom w:val="0"/>
                      <w:divBdr>
                        <w:top w:val="none" w:sz="0" w:space="0" w:color="auto"/>
                        <w:left w:val="none" w:sz="0" w:space="0" w:color="auto"/>
                        <w:bottom w:val="none" w:sz="0" w:space="0" w:color="auto"/>
                        <w:right w:val="none" w:sz="0" w:space="0" w:color="auto"/>
                      </w:divBdr>
                      <w:divsChild>
                        <w:div w:id="1921019534">
                          <w:marLeft w:val="0"/>
                          <w:marRight w:val="0"/>
                          <w:marTop w:val="0"/>
                          <w:marBottom w:val="0"/>
                          <w:divBdr>
                            <w:top w:val="none" w:sz="0" w:space="0" w:color="auto"/>
                            <w:left w:val="none" w:sz="0" w:space="0" w:color="auto"/>
                            <w:bottom w:val="none" w:sz="0" w:space="0" w:color="auto"/>
                            <w:right w:val="none" w:sz="0" w:space="0" w:color="auto"/>
                          </w:divBdr>
                          <w:divsChild>
                            <w:div w:id="1252352694">
                              <w:marLeft w:val="0"/>
                              <w:marRight w:val="300"/>
                              <w:marTop w:val="180"/>
                              <w:marBottom w:val="0"/>
                              <w:divBdr>
                                <w:top w:val="none" w:sz="0" w:space="0" w:color="auto"/>
                                <w:left w:val="none" w:sz="0" w:space="0" w:color="auto"/>
                                <w:bottom w:val="none" w:sz="0" w:space="0" w:color="auto"/>
                                <w:right w:val="none" w:sz="0" w:space="0" w:color="auto"/>
                              </w:divBdr>
                              <w:divsChild>
                                <w:div w:id="182269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5955375">
          <w:marLeft w:val="0"/>
          <w:marRight w:val="0"/>
          <w:marTop w:val="0"/>
          <w:marBottom w:val="0"/>
          <w:divBdr>
            <w:top w:val="none" w:sz="0" w:space="0" w:color="auto"/>
            <w:left w:val="none" w:sz="0" w:space="0" w:color="auto"/>
            <w:bottom w:val="none" w:sz="0" w:space="0" w:color="auto"/>
            <w:right w:val="none" w:sz="0" w:space="0" w:color="auto"/>
          </w:divBdr>
          <w:divsChild>
            <w:div w:id="928855966">
              <w:marLeft w:val="0"/>
              <w:marRight w:val="0"/>
              <w:marTop w:val="0"/>
              <w:marBottom w:val="0"/>
              <w:divBdr>
                <w:top w:val="none" w:sz="0" w:space="0" w:color="auto"/>
                <w:left w:val="none" w:sz="0" w:space="0" w:color="auto"/>
                <w:bottom w:val="none" w:sz="0" w:space="0" w:color="auto"/>
                <w:right w:val="none" w:sz="0" w:space="0" w:color="auto"/>
              </w:divBdr>
              <w:divsChild>
                <w:div w:id="2074312424">
                  <w:marLeft w:val="0"/>
                  <w:marRight w:val="0"/>
                  <w:marTop w:val="0"/>
                  <w:marBottom w:val="0"/>
                  <w:divBdr>
                    <w:top w:val="none" w:sz="0" w:space="0" w:color="auto"/>
                    <w:left w:val="none" w:sz="0" w:space="0" w:color="auto"/>
                    <w:bottom w:val="none" w:sz="0" w:space="0" w:color="auto"/>
                    <w:right w:val="none" w:sz="0" w:space="0" w:color="auto"/>
                  </w:divBdr>
                  <w:divsChild>
                    <w:div w:id="1189104095">
                      <w:marLeft w:val="0"/>
                      <w:marRight w:val="0"/>
                      <w:marTop w:val="0"/>
                      <w:marBottom w:val="0"/>
                      <w:divBdr>
                        <w:top w:val="none" w:sz="0" w:space="0" w:color="auto"/>
                        <w:left w:val="none" w:sz="0" w:space="0" w:color="auto"/>
                        <w:bottom w:val="none" w:sz="0" w:space="0" w:color="auto"/>
                        <w:right w:val="none" w:sz="0" w:space="0" w:color="auto"/>
                      </w:divBdr>
                      <w:divsChild>
                        <w:div w:id="12516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F3C3C-E6CF-4109-B0FF-C9D1397A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12132</Words>
  <Characters>69159</Characters>
  <Application>Microsoft Office Word</Application>
  <DocSecurity>0</DocSecurity>
  <Lines>576</Lines>
  <Paragraphs>162</Paragraphs>
  <ScaleCrop>false</ScaleCrop>
  <Company/>
  <LinksUpToDate>false</LinksUpToDate>
  <CharactersWithSpaces>81129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 斌旭</dc:creator>
  <cp:keywords/>
  <cp:lastModifiedBy>牛 斌旭</cp:lastModifiedBy>
  <cp:revision>9</cp:revision>
  <cp:lastPrinted>2020-09-04T07:28:00Z</cp:lastPrinted>
  <dcterms:created xsi:type="dcterms:W3CDTF">2020-09-02T09:42:00Z</dcterms:created>
  <dcterms:modified xsi:type="dcterms:W3CDTF">2020-09-04T08:22:00Z</dcterms:modified>
</cp:coreProperties>
</file>