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616D7" w14:textId="77777777" w:rsidR="00150BAC" w:rsidRPr="002F6630" w:rsidRDefault="00150BAC" w:rsidP="00150BAC">
      <w:pPr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检查组依据《药品生产质量管理规范（2010年修订）》和相关附录，结合该公司认证检查品种的实际情况，基于风险管理的原则，确定检查清单及重点检查内容。</w:t>
      </w:r>
    </w:p>
    <w:p w14:paraId="5E2AB52F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1、前次药品GMP认证检查和相关生产线上次药品GMP认证检查发现缺陷项目的整改情况。</w:t>
      </w:r>
    </w:p>
    <w:p w14:paraId="2775C77C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2、质量管理</w:t>
      </w:r>
    </w:p>
    <w:p w14:paraId="6C7299BD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质量目标及质量管理体系的要素；</w:t>
      </w:r>
    </w:p>
    <w:p w14:paraId="0380E29F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质量保证系统、质量控制系统的有效性；</w:t>
      </w:r>
    </w:p>
    <w:p w14:paraId="0282A417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质量风险管理规定和质量风险管理活动的范围和重点，以及在质量风险管理体系下进行风险识别、评价、控制、沟通和审核的过程。</w:t>
      </w:r>
    </w:p>
    <w:p w14:paraId="68DDADEA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3、机构与人员</w:t>
      </w:r>
    </w:p>
    <w:p w14:paraId="1B65E69E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组织机构及关键人员的变更、资质和按照本规范要求履职的情况；</w:t>
      </w:r>
    </w:p>
    <w:p w14:paraId="2F4D0880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培训方案或计划的制定与执行；</w:t>
      </w:r>
    </w:p>
    <w:p w14:paraId="394BECD1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关键人员和关键生产、检验工作岗位人员培训内容、档案管理、培训效果的评估；</w:t>
      </w:r>
    </w:p>
    <w:p w14:paraId="30C8F15B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人员卫生管理和进入洁净区人员卫生管理情况。</w:t>
      </w:r>
    </w:p>
    <w:p w14:paraId="27E00B53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4、厂房与设施</w:t>
      </w:r>
    </w:p>
    <w:p w14:paraId="591F2BC5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厂房、公用设施、固定管道的竣工图纸；</w:t>
      </w:r>
    </w:p>
    <w:p w14:paraId="1BDEFC63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生产区、仓储区、质量控制区、</w:t>
      </w:r>
      <w:proofErr w:type="gramStart"/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辅助区</w:t>
      </w:r>
      <w:proofErr w:type="gramEnd"/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的设置情况；</w:t>
      </w:r>
    </w:p>
    <w:p w14:paraId="548510F2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厂房、设施维护保养状态；</w:t>
      </w:r>
    </w:p>
    <w:p w14:paraId="0FE7E97C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洁净区的洁净级别与布局；</w:t>
      </w:r>
    </w:p>
    <w:p w14:paraId="4EF4FE28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洁净区的温、湿度监控，关键工序或区域压差监控；</w:t>
      </w:r>
    </w:p>
    <w:p w14:paraId="27C722A5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proofErr w:type="gramStart"/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产尘操作间防止</w:t>
      </w:r>
      <w:proofErr w:type="gramEnd"/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粉尘扩散、避免交叉污染的措施；</w:t>
      </w:r>
    </w:p>
    <w:p w14:paraId="1D88CCD0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车间防爆措施的采用与执行情况；</w:t>
      </w:r>
    </w:p>
    <w:p w14:paraId="24261C3C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洁净区的清洁及消毒；</w:t>
      </w:r>
    </w:p>
    <w:p w14:paraId="6515E703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物料</w:t>
      </w:r>
      <w:proofErr w:type="gramStart"/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取样区</w:t>
      </w:r>
      <w:proofErr w:type="gramEnd"/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的设置情况；</w:t>
      </w:r>
    </w:p>
    <w:p w14:paraId="144C474B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空气净化系统的设置、使用、维护保养情况。</w:t>
      </w:r>
    </w:p>
    <w:p w14:paraId="4D57BC9F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5、设备</w:t>
      </w:r>
    </w:p>
    <w:p w14:paraId="39EBF854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生产设备的材质；</w:t>
      </w:r>
    </w:p>
    <w:p w14:paraId="2CA27CD1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仪器、仪表、量具、衡器的精密度以及校验情况；</w:t>
      </w:r>
    </w:p>
    <w:p w14:paraId="709B30A5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生产设备的模具管理；</w:t>
      </w:r>
    </w:p>
    <w:p w14:paraId="0CA6182A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设备的预防性维护计划、维护操作规程和相关维护记录；</w:t>
      </w:r>
    </w:p>
    <w:p w14:paraId="5AF9BE3A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设备的清洁、消毒操作和使用日志；</w:t>
      </w:r>
    </w:p>
    <w:p w14:paraId="3A038F09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纯化水系统的工作原理、材质、分配管路设计以及</w:t>
      </w:r>
      <w:r w:rsidRPr="002F6630">
        <w:rPr>
          <w:rFonts w:ascii="仿宋_GB2312" w:eastAsia="仿宋_GB2312" w:hAnsi="宋体" w:cs="宋体" w:hint="eastAsia"/>
          <w:kern w:val="0"/>
          <w:sz w:val="28"/>
          <w:szCs w:val="28"/>
        </w:rPr>
        <w:t>控制、处理微生物的措施；</w:t>
      </w:r>
    </w:p>
    <w:p w14:paraId="35932F8D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纯化水系统的监测记录、清洗消毒操作;</w:t>
      </w:r>
    </w:p>
    <w:p w14:paraId="6A94018C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压缩空气制备、使用、监测情况。</w:t>
      </w:r>
    </w:p>
    <w:p w14:paraId="4B0C4315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6、物料与产品</w:t>
      </w:r>
    </w:p>
    <w:p w14:paraId="307653B2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仓储区布局和环境控制；</w:t>
      </w:r>
    </w:p>
    <w:p w14:paraId="4675B00D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物料与产品的接收、贮存、放行、使用情况及其相关记录情况；</w:t>
      </w:r>
    </w:p>
    <w:p w14:paraId="2BEFBB24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原辅料接收时确保正确无误的措施；</w:t>
      </w:r>
    </w:p>
    <w:p w14:paraId="26EB1472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原辅料取样过程中防止污染或交叉污染的措施；</w:t>
      </w:r>
    </w:p>
    <w:p w14:paraId="237C0E04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原辅料的有效期或复验期规定以及贮存期内的管理情况；</w:t>
      </w:r>
    </w:p>
    <w:p w14:paraId="6932768F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原辅料配料的称量、复核和相关记录；</w:t>
      </w:r>
    </w:p>
    <w:p w14:paraId="4FFB3440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中间产品、待包装产品、包装材料的管理情况；</w:t>
      </w:r>
    </w:p>
    <w:p w14:paraId="73104F18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原料药产品中母液的套用和回收管理情况；</w:t>
      </w:r>
    </w:p>
    <w:p w14:paraId="53B72F5F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原料药生产中回收的溶剂及其容器（桶、储槽等）的管理情况；</w:t>
      </w:r>
    </w:p>
    <w:p w14:paraId="35A13FD5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产品回收、返工和重新加工的操作规程、执行情况；</w:t>
      </w:r>
    </w:p>
    <w:p w14:paraId="061A8C93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不合格品、退货产品的操作规程及相关记录；</w:t>
      </w:r>
    </w:p>
    <w:p w14:paraId="438F8DBD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7、确认与验证</w:t>
      </w:r>
    </w:p>
    <w:p w14:paraId="753D572F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关键洁净区洁净度的确认情况；</w:t>
      </w:r>
    </w:p>
    <w:p w14:paraId="4D46A9DF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工艺验证情况，如批次、批量、结果等；</w:t>
      </w:r>
    </w:p>
    <w:p w14:paraId="2AEFBD55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检验方法的确认情况；</w:t>
      </w:r>
    </w:p>
    <w:p w14:paraId="4A3F403E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关键设备确认情况；</w:t>
      </w:r>
    </w:p>
    <w:p w14:paraId="7790669B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清洁验证情况；</w:t>
      </w:r>
    </w:p>
    <w:p w14:paraId="79BD5193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纯化水、空气净化系统验证情况；</w:t>
      </w:r>
    </w:p>
    <w:p w14:paraId="6EEF6B9C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公用系统验证情况（厂房设施、压缩空气）。</w:t>
      </w:r>
    </w:p>
    <w:p w14:paraId="72003F92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8、文件管理</w:t>
      </w:r>
    </w:p>
    <w:p w14:paraId="0E93C6A4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文件的起草、修订、审核、批准、替换或撤销、复制、保管和销毁的管理情况；</w:t>
      </w:r>
    </w:p>
    <w:p w14:paraId="56384C21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文件制定的合理性和可操作性；</w:t>
      </w:r>
    </w:p>
    <w:p w14:paraId="48CD83ED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物料、中间产品、待包装产品、成品的质量标准制定、执行情况；</w:t>
      </w:r>
    </w:p>
    <w:p w14:paraId="0F4AF132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黑体" w:eastAsia="黑体" w:hAnsi="黑体" w:cs="宋体" w:hint="eastAsia"/>
          <w:kern w:val="0"/>
          <w:sz w:val="30"/>
          <w:szCs w:val="30"/>
        </w:rPr>
        <w:t>工艺规程与注册批准工艺的一致性（在报告中体现）；</w:t>
      </w:r>
    </w:p>
    <w:p w14:paraId="4913B353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批生产、批包装记录与现行工艺规程的符合性。</w:t>
      </w:r>
    </w:p>
    <w:p w14:paraId="13D35EC8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9、生产管理</w:t>
      </w:r>
    </w:p>
    <w:p w14:paraId="2EE7DA27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生产操作与操作规程的符合性；</w:t>
      </w:r>
    </w:p>
    <w:p w14:paraId="0FA8C630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产品批次划分的规定和实际执行情况；</w:t>
      </w:r>
    </w:p>
    <w:p w14:paraId="58C7E5DE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物料平衡规定及相关异常情况的处理；</w:t>
      </w:r>
    </w:p>
    <w:p w14:paraId="07CA6BF7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关键岗位人员的行为规范情况；</w:t>
      </w:r>
    </w:p>
    <w:p w14:paraId="7B9C8EEF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生产设备及器具的清洁、灭菌、存放；</w:t>
      </w:r>
    </w:p>
    <w:p w14:paraId="40246D78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洁净区内功能间、生产设备及器具的状态标识；</w:t>
      </w:r>
    </w:p>
    <w:p w14:paraId="50887E2B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洁净区内关键区域的环境监测情况；</w:t>
      </w:r>
    </w:p>
    <w:p w14:paraId="1F5D0ED7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品种共线生产的情况以及防止差错、交叉污染的措施；</w:t>
      </w:r>
    </w:p>
    <w:p w14:paraId="500F1211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所有生产操作的记录情况。</w:t>
      </w:r>
    </w:p>
    <w:p w14:paraId="6D34E659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10、质量控制与质量保证</w:t>
      </w:r>
    </w:p>
    <w:p w14:paraId="2175CBCF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物料、中间产品、待包装产品及产品的审核、放行情况；</w:t>
      </w:r>
    </w:p>
    <w:p w14:paraId="3F189832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检验取样、存放、分样等环节的管理情况；</w:t>
      </w:r>
    </w:p>
    <w:p w14:paraId="2D938165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物料及产品的检验操作规程、记录及报告情况；</w:t>
      </w:r>
    </w:p>
    <w:p w14:paraId="0ED7C142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试剂、试液、培养基和检定菌的管理情况；</w:t>
      </w:r>
    </w:p>
    <w:p w14:paraId="061DB1FC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标准品或对照品的管理情况；</w:t>
      </w:r>
    </w:p>
    <w:p w14:paraId="3C41BC15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留样与持续稳定性考察情况；</w:t>
      </w:r>
    </w:p>
    <w:p w14:paraId="40D9398F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检验结果超标调查（OOS）、偏差管理、变更管理情况；</w:t>
      </w:r>
    </w:p>
    <w:p w14:paraId="68820B2C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产品质量回顾分析相关规定及执行情况，如批次、批量、回顾项目、结果等；</w:t>
      </w:r>
    </w:p>
    <w:p w14:paraId="5FF38A39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纯化水的水质监测及趋势分析；</w:t>
      </w:r>
    </w:p>
    <w:p w14:paraId="1D0A947C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主要物料供应商的审计情况；</w:t>
      </w:r>
    </w:p>
    <w:p w14:paraId="39EF227A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委托检验情况。</w:t>
      </w:r>
    </w:p>
    <w:p w14:paraId="260A7C76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11、产品发运与召回</w:t>
      </w:r>
    </w:p>
    <w:p w14:paraId="7B55820C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发运记录的内容完整性；</w:t>
      </w:r>
    </w:p>
    <w:p w14:paraId="1A6AF5A1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召回操作规程及召回系统有效性的评估情况。</w:t>
      </w:r>
    </w:p>
    <w:p w14:paraId="145DF14A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12、自检</w:t>
      </w:r>
    </w:p>
    <w:p w14:paraId="72FE6884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自检管理规定;</w:t>
      </w:r>
    </w:p>
    <w:p w14:paraId="24FC787B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自检计划、自检记录与报告；</w:t>
      </w:r>
    </w:p>
    <w:p w14:paraId="04A6C926" w14:textId="77777777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仿宋_GB2312" w:eastAsia="仿宋_GB2312" w:hAnsi="宋体" w:cs="宋体" w:hint="eastAsia"/>
          <w:kern w:val="0"/>
          <w:sz w:val="30"/>
          <w:szCs w:val="30"/>
        </w:rPr>
        <w:t>纠正和预防措施。</w:t>
      </w:r>
    </w:p>
    <w:p w14:paraId="0D7F6EB4" w14:textId="12DDFF90" w:rsidR="00150BAC" w:rsidRPr="002F6630" w:rsidRDefault="00150BAC" w:rsidP="00150BAC">
      <w:pPr>
        <w:widowControl/>
        <w:adjustRightInd w:val="0"/>
        <w:snapToGrid w:val="0"/>
        <w:spacing w:line="520" w:lineRule="exact"/>
        <w:ind w:firstLine="600"/>
        <w:jc w:val="left"/>
        <w:rPr>
          <w:rFonts w:ascii="宋体" w:hAnsi="宋体" w:cs="宋体" w:hint="eastAsia"/>
          <w:kern w:val="0"/>
          <w:sz w:val="22"/>
        </w:rPr>
      </w:pPr>
      <w:r w:rsidRPr="002F6630">
        <w:rPr>
          <w:rFonts w:ascii="黑体" w:eastAsia="黑体" w:hAnsi="黑体" w:cs="宋体" w:hint="eastAsia"/>
          <w:kern w:val="0"/>
          <w:sz w:val="30"/>
          <w:szCs w:val="30"/>
        </w:rPr>
        <w:t>13、</w:t>
      </w:r>
      <w:r w:rsidRPr="00896DAA">
        <w:rPr>
          <w:rFonts w:ascii="黑体" w:eastAsia="黑体" w:hAnsi="黑体" w:cs="宋体" w:hint="eastAsia"/>
          <w:kern w:val="0"/>
          <w:sz w:val="30"/>
          <w:szCs w:val="30"/>
        </w:rPr>
        <w:t>与生产、质量相关的计算机化系统验证情况，如用户名及权限的分配、方法创建及调用、数据修改及备份、数据的恢复确认及定期检查、审计追踪功能等确认情况，能否确保数据可靠性</w:t>
      </w:r>
      <w:r>
        <w:rPr>
          <w:rFonts w:ascii="黑体" w:eastAsia="黑体" w:hAnsi="黑体" w:cs="宋体" w:hint="eastAsia"/>
          <w:kern w:val="0"/>
          <w:sz w:val="30"/>
          <w:szCs w:val="30"/>
        </w:rPr>
        <w:t>。</w:t>
      </w:r>
    </w:p>
    <w:p w14:paraId="21696FA5" w14:textId="77777777" w:rsidR="00547DB6" w:rsidRPr="00150BAC" w:rsidRDefault="00547DB6"/>
    <w:sectPr w:rsidR="00547DB6" w:rsidRPr="00150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AC"/>
    <w:rsid w:val="00150BAC"/>
    <w:rsid w:val="005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CBDD5"/>
  <w15:chartTrackingRefBased/>
  <w15:docId w15:val="{B323BC9B-A7B1-4E6F-A303-8CAD5422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B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Chuan</dc:creator>
  <cp:keywords/>
  <dc:description/>
  <cp:lastModifiedBy>Qian Chuan</cp:lastModifiedBy>
  <cp:revision>1</cp:revision>
  <dcterms:created xsi:type="dcterms:W3CDTF">2020-06-02T06:18:00Z</dcterms:created>
  <dcterms:modified xsi:type="dcterms:W3CDTF">2020-06-02T06:19:00Z</dcterms:modified>
</cp:coreProperties>
</file>