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楷体" w:hAnsi="楷体" w:eastAsia="楷体" w:cs="楷体"/>
          <w:b/>
          <w:bCs/>
          <w:sz w:val="30"/>
          <w:szCs w:val="30"/>
          <w:lang w:val="en-US" w:eastAsia="zh-CN"/>
        </w:rPr>
      </w:pPr>
      <w:bookmarkStart w:id="0" w:name="_GoBack"/>
      <w:bookmarkEnd w:id="0"/>
      <w:r>
        <w:rPr>
          <w:rFonts w:hint="eastAsia" w:asciiTheme="minorEastAsia" w:hAnsiTheme="minorEastAsia"/>
          <w:lang w:val="en-US" w:eastAsia="zh-CN"/>
        </w:rPr>
        <w:t xml:space="preserve">               </w:t>
      </w:r>
      <w:r>
        <w:rPr>
          <w:rFonts w:hint="eastAsia" w:ascii="楷体" w:hAnsi="楷体" w:eastAsia="楷体" w:cs="楷体"/>
          <w:b/>
          <w:bCs/>
          <w:sz w:val="30"/>
          <w:szCs w:val="30"/>
          <w:lang w:val="en-US" w:eastAsia="zh-CN"/>
        </w:rPr>
        <w:t xml:space="preserve">      案外人救济的综合性知识</w:t>
      </w:r>
    </w:p>
    <w:p>
      <w:pPr>
        <w:spacing w:line="360" w:lineRule="auto"/>
        <w:rPr>
          <w:rFonts w:hint="eastAsia" w:asciiTheme="minorEastAsia" w:hAnsiTheme="minorEastAsia"/>
          <w:lang w:val="en-US" w:eastAsia="zh-CN"/>
        </w:rPr>
      </w:pPr>
    </w:p>
    <w:p>
      <w:pPr>
        <w:spacing w:line="360" w:lineRule="auto"/>
        <w:ind w:firstLine="420"/>
        <w:rPr>
          <w:rFonts w:hint="eastAsia" w:asciiTheme="minorEastAsia" w:hAnsiTheme="minorEastAsia"/>
          <w:lang w:val="en-US" w:eastAsia="zh-CN"/>
        </w:rPr>
      </w:pPr>
      <w:r>
        <w:rPr>
          <w:rFonts w:hint="eastAsia" w:asciiTheme="minorEastAsia" w:hAnsiTheme="minorEastAsia"/>
          <w:lang w:val="en-US" w:eastAsia="zh-CN"/>
        </w:rPr>
        <w:t>案外人救济是一个较为综合复杂的知识，涉及第三人撤销之诉、必要共同诉讼人作为案外人直接申请再审，案外人（包括必要共同诉讼人、有独立请求权的第三人与无独立请求权的第三人）提出执行异议以及案外人执行异议被驳回后申请再审这几个制度。理顺案外人救济制度的关键是案外人的诉讼地位，涉及《民事诉讼法》第56条、第227条和《民诉解释》第301条、302条、303条、422条、423条和424条，因此，应当区分为案外人是必要共同诉讼人的救济和案外人是第三人的救济，以案例方式讲解：</w:t>
      </w:r>
    </w:p>
    <w:p>
      <w:pPr>
        <w:spacing w:line="360" w:lineRule="auto"/>
        <w:rPr>
          <w:rFonts w:hint="eastAsia" w:asciiTheme="minorEastAsia" w:hAnsiTheme="minorEastAsia"/>
        </w:rPr>
      </w:pPr>
      <w:r>
        <w:rPr>
          <w:rFonts w:hint="eastAsia" w:asciiTheme="minorEastAsia" w:hAnsiTheme="minorEastAsia"/>
        </w:rPr>
        <w:t>案例：</w:t>
      </w:r>
    </w:p>
    <w:p>
      <w:pPr>
        <w:spacing w:line="360" w:lineRule="auto"/>
        <w:ind w:firstLine="430"/>
        <w:rPr>
          <w:rFonts w:hint="eastAsia" w:asciiTheme="minorEastAsia" w:hAnsiTheme="minorEastAsia"/>
        </w:rPr>
      </w:pPr>
      <w:r>
        <w:rPr>
          <w:rFonts w:hint="eastAsia" w:asciiTheme="minorEastAsia" w:hAnsiTheme="minorEastAsia"/>
        </w:rPr>
        <w:t>父母生前与老二同住，父母去世后，老二继续居住于父母遗留的房屋，同时，父母遗留的存款也由老二保管。老大诉至法院，认为老二多占父母遗产，侵犯其继承权。法院经过审理作出生效判决，判决存款归老二，但老二居住的房屋归老大（该判决或者因当事人对一审判决未上诉而生效，或者因经过两审终审而生效）。</w:t>
      </w:r>
      <w:r>
        <w:rPr>
          <w:rFonts w:hint="eastAsia" w:asciiTheme="minorEastAsia" w:hAnsiTheme="minorEastAsia"/>
          <w:lang w:eastAsia="zh-CN"/>
        </w:rPr>
        <w:t>判决生效后</w:t>
      </w:r>
      <w:r>
        <w:rPr>
          <w:rFonts w:hint="eastAsia" w:asciiTheme="minorEastAsia" w:hAnsiTheme="minorEastAsia"/>
        </w:rPr>
        <w:t>，发现遗漏了老三。分两种情况：</w:t>
      </w:r>
    </w:p>
    <w:p>
      <w:pPr>
        <w:spacing w:line="360" w:lineRule="auto"/>
        <w:rPr>
          <w:rFonts w:hint="eastAsia" w:asciiTheme="minorEastAsia" w:hAnsiTheme="minorEastAsia"/>
        </w:rPr>
      </w:pPr>
      <w:r>
        <w:rPr>
          <w:rFonts w:hint="eastAsia" w:asciiTheme="minorEastAsia" w:hAnsiTheme="minorEastAsia"/>
          <w:lang w:eastAsia="zh-CN"/>
        </w:rPr>
        <w:t>一、</w:t>
      </w:r>
      <w:r>
        <w:rPr>
          <w:rFonts w:hint="eastAsia" w:asciiTheme="minorEastAsia" w:hAnsiTheme="minorEastAsia"/>
        </w:rPr>
        <w:t>如果老三为法定继承人，其为必要共同诉讼人，</w:t>
      </w:r>
      <w:r>
        <w:rPr>
          <w:rFonts w:hint="eastAsia" w:asciiTheme="minorEastAsia" w:hAnsiTheme="minorEastAsia"/>
          <w:lang w:eastAsia="zh-CN"/>
        </w:rPr>
        <w:t>对其救济的</w:t>
      </w:r>
      <w:r>
        <w:rPr>
          <w:rFonts w:hint="eastAsia" w:asciiTheme="minorEastAsia" w:hAnsiTheme="minorEastAsia"/>
        </w:rPr>
        <w:t>具体程序如下：</w:t>
      </w:r>
    </w:p>
    <w:p>
      <w:pPr>
        <w:pStyle w:val="8"/>
        <w:numPr>
          <w:ilvl w:val="0"/>
          <w:numId w:val="0"/>
        </w:numPr>
        <w:spacing w:line="360" w:lineRule="auto"/>
        <w:ind w:leftChars="0" w:firstLine="210" w:firstLineChars="100"/>
        <w:rPr>
          <w:rFonts w:hint="eastAsia" w:asciiTheme="minorEastAsia" w:hAnsiTheme="minorEastAsia"/>
        </w:rPr>
      </w:pPr>
      <w:r>
        <w:rPr>
          <w:rFonts w:hint="eastAsia" w:asciiTheme="minorEastAsia" w:hAnsiTheme="minorEastAsia"/>
          <w:lang w:val="en-US" w:eastAsia="zh-CN"/>
        </w:rPr>
        <w:t>1、</w:t>
      </w:r>
      <w:r>
        <w:rPr>
          <w:rFonts w:hint="eastAsia" w:asciiTheme="minorEastAsia" w:hAnsiTheme="minorEastAsia"/>
        </w:rPr>
        <w:t>老三可以作为案外人直接申请再审，具体分两种情况：第一、适用第一审普通程序再审，调解不成，作出判决，当事人可以上诉；第二、适用第二审程序再审，调解不成，撤销原判决，发回原一审法院重审，重审时列明老三。【民诉解释422条】</w:t>
      </w:r>
    </w:p>
    <w:p>
      <w:pPr>
        <w:pStyle w:val="8"/>
        <w:numPr>
          <w:ilvl w:val="0"/>
          <w:numId w:val="0"/>
        </w:numPr>
        <w:spacing w:line="360" w:lineRule="auto"/>
        <w:ind w:leftChars="0" w:firstLine="210" w:firstLineChars="100"/>
        <w:rPr>
          <w:rFonts w:hint="eastAsia" w:asciiTheme="minorEastAsia" w:hAnsiTheme="minorEastAsia"/>
        </w:rPr>
      </w:pPr>
      <w:r>
        <w:rPr>
          <w:rFonts w:hint="eastAsia" w:asciiTheme="minorEastAsia" w:hAnsiTheme="minorEastAsia"/>
          <w:lang w:val="en-US" w:eastAsia="zh-CN"/>
        </w:rPr>
        <w:t>2、</w:t>
      </w:r>
      <w:r>
        <w:rPr>
          <w:rFonts w:hint="eastAsia" w:asciiTheme="minorEastAsia" w:hAnsiTheme="minorEastAsia"/>
        </w:rPr>
        <w:t>在老大申请执行老二居住房屋的执行程序中，老三可以作为案外人提出案外人执行异议，法院裁定驳回后，其可以申请再审，具体处理同老三直接申请再审。【民诉解释423条与424条第1款】</w:t>
      </w:r>
    </w:p>
    <w:p>
      <w:pPr>
        <w:spacing w:line="360" w:lineRule="auto"/>
        <w:rPr>
          <w:rFonts w:hint="eastAsia" w:asciiTheme="minorEastAsia" w:hAnsiTheme="minorEastAsia"/>
        </w:rPr>
      </w:pPr>
      <w:r>
        <w:rPr>
          <w:rFonts w:hint="eastAsia" w:asciiTheme="minorEastAsia" w:hAnsiTheme="minorEastAsia"/>
          <w:lang w:eastAsia="zh-CN"/>
        </w:rPr>
        <w:t>二、</w:t>
      </w:r>
      <w:r>
        <w:rPr>
          <w:rFonts w:hint="eastAsia" w:asciiTheme="minorEastAsia" w:hAnsiTheme="minorEastAsia"/>
        </w:rPr>
        <w:t>如果老三为遗嘱继承人，其为有独立请求权的第三人，</w:t>
      </w:r>
      <w:r>
        <w:rPr>
          <w:rFonts w:hint="eastAsia" w:asciiTheme="minorEastAsia" w:hAnsiTheme="minorEastAsia"/>
          <w:lang w:eastAsia="zh-CN"/>
        </w:rPr>
        <w:t>对其救济的</w:t>
      </w:r>
      <w:r>
        <w:rPr>
          <w:rFonts w:hint="eastAsia" w:asciiTheme="minorEastAsia" w:hAnsiTheme="minorEastAsia"/>
        </w:rPr>
        <w:t>具体程序如下：</w:t>
      </w:r>
    </w:p>
    <w:p>
      <w:pPr>
        <w:spacing w:line="360" w:lineRule="auto"/>
        <w:ind w:firstLine="420" w:firstLineChars="200"/>
        <w:rPr>
          <w:rFonts w:hint="eastAsia" w:asciiTheme="minorEastAsia" w:hAnsiTheme="minorEastAsia"/>
        </w:rPr>
      </w:pPr>
      <w:r>
        <w:rPr>
          <w:rFonts w:hint="eastAsia" w:asciiTheme="minorEastAsia" w:hAnsiTheme="minorEastAsia"/>
          <w:lang w:val="en-US" w:eastAsia="zh-CN"/>
        </w:rPr>
        <w:t>1、</w:t>
      </w:r>
      <w:r>
        <w:rPr>
          <w:rFonts w:hint="eastAsia" w:asciiTheme="minorEastAsia" w:hAnsiTheme="minorEastAsia"/>
        </w:rPr>
        <w:t>如果老三提起第三人撤销之诉</w:t>
      </w:r>
      <w:r>
        <w:rPr>
          <w:rFonts w:hint="eastAsia" w:asciiTheme="minorEastAsia" w:hAnsiTheme="minorEastAsia"/>
          <w:lang w:eastAsia="zh-CN"/>
        </w:rPr>
        <w:t>【民事诉讼法第</w:t>
      </w:r>
      <w:r>
        <w:rPr>
          <w:rFonts w:hint="eastAsia" w:asciiTheme="minorEastAsia" w:hAnsiTheme="minorEastAsia"/>
          <w:lang w:val="en-US" w:eastAsia="zh-CN"/>
        </w:rPr>
        <w:t>56条第3款</w:t>
      </w:r>
      <w:r>
        <w:rPr>
          <w:rFonts w:hint="eastAsia" w:asciiTheme="minorEastAsia" w:hAnsiTheme="minorEastAsia"/>
          <w:lang w:eastAsia="zh-CN"/>
        </w:rPr>
        <w:t>】</w:t>
      </w:r>
      <w:r>
        <w:rPr>
          <w:rFonts w:hint="eastAsia" w:asciiTheme="minorEastAsia" w:hAnsiTheme="minorEastAsia"/>
        </w:rPr>
        <w:t>，在老大申请执行老二居住房屋的执行程序中，老三可以作为案外人提出执行异议</w:t>
      </w:r>
      <w:r>
        <w:rPr>
          <w:rFonts w:hint="eastAsia" w:asciiTheme="minorEastAsia" w:hAnsiTheme="minorEastAsia"/>
          <w:lang w:eastAsia="zh-CN"/>
        </w:rPr>
        <w:t>【民事诉讼法第</w:t>
      </w:r>
      <w:r>
        <w:rPr>
          <w:rFonts w:hint="eastAsia" w:asciiTheme="minorEastAsia" w:hAnsiTheme="minorEastAsia"/>
          <w:lang w:val="en-US" w:eastAsia="zh-CN"/>
        </w:rPr>
        <w:t>227条</w:t>
      </w:r>
      <w:r>
        <w:rPr>
          <w:rFonts w:hint="eastAsia" w:asciiTheme="minorEastAsia" w:hAnsiTheme="minorEastAsia"/>
          <w:lang w:eastAsia="zh-CN"/>
        </w:rPr>
        <w:t>】</w:t>
      </w:r>
      <w:r>
        <w:rPr>
          <w:rFonts w:hint="eastAsia" w:asciiTheme="minorEastAsia" w:hAnsiTheme="minorEastAsia"/>
        </w:rPr>
        <w:t>，但是，法院裁定驳回老三执行异议后，其不能申请再审，只能将第三人撤销之诉继续下去。【民诉解释303条第1款】</w:t>
      </w:r>
    </w:p>
    <w:p>
      <w:pPr>
        <w:spacing w:line="360" w:lineRule="auto"/>
        <w:ind w:firstLine="420" w:firstLineChars="200"/>
        <w:rPr>
          <w:rFonts w:hint="eastAsia" w:asciiTheme="minorEastAsia" w:hAnsiTheme="minorEastAsia"/>
        </w:rPr>
      </w:pPr>
      <w:r>
        <w:rPr>
          <w:rFonts w:hint="eastAsia" w:asciiTheme="minorEastAsia" w:hAnsiTheme="minorEastAsia"/>
          <w:lang w:val="en-US" w:eastAsia="zh-CN"/>
        </w:rPr>
        <w:t>2、</w:t>
      </w:r>
      <w:r>
        <w:rPr>
          <w:rFonts w:hint="eastAsia" w:asciiTheme="minorEastAsia" w:hAnsiTheme="minorEastAsia"/>
        </w:rPr>
        <w:t>如果老三在老大申请执行老二居住房屋的执行程序中，作为案外人提出执行异议，法院裁定驳回老三执行异议后，老三只能申请再审，而不得提</w:t>
      </w:r>
      <w:r>
        <w:rPr>
          <w:rFonts w:hint="eastAsia" w:asciiTheme="minorEastAsia" w:hAnsiTheme="minorEastAsia"/>
          <w:lang w:eastAsia="zh-CN"/>
        </w:rPr>
        <w:t>起</w:t>
      </w:r>
      <w:r>
        <w:rPr>
          <w:rFonts w:hint="eastAsia" w:asciiTheme="minorEastAsia" w:hAnsiTheme="minorEastAsia"/>
        </w:rPr>
        <w:t>第三人撤销之诉。【民诉解释303条第2款】对于老三申请再审，再审法院仅审理原判决对老三民事权益造成损害的内容，经审理，再审请求成立的，撤销或者改变原判决；再审请求不成立的，维持原判决。【民诉解释424条第2款】</w:t>
      </w:r>
    </w:p>
    <w:p>
      <w:pPr>
        <w:spacing w:line="360" w:lineRule="auto"/>
        <w:ind w:firstLine="420" w:firstLineChars="200"/>
        <w:rPr>
          <w:rFonts w:hint="eastAsia" w:asciiTheme="minorEastAsia" w:hAnsiTheme="minorEastAsia"/>
          <w:lang w:eastAsia="zh-CN"/>
        </w:rPr>
      </w:pPr>
      <w:r>
        <w:rPr>
          <w:rFonts w:hint="eastAsia" w:asciiTheme="minorEastAsia" w:hAnsiTheme="minorEastAsia"/>
          <w:lang w:eastAsia="zh-CN"/>
        </w:rPr>
        <w:t>此外，</w:t>
      </w:r>
      <w:r>
        <w:rPr>
          <w:rFonts w:hint="eastAsia" w:asciiTheme="minorEastAsia" w:hAnsiTheme="minorEastAsia"/>
        </w:rPr>
        <w:t>如果老三为有独立请求权的第三人，还涉及第三人撤销之诉与老大老二原案再审的关系</w:t>
      </w:r>
      <w:r>
        <w:rPr>
          <w:rFonts w:hint="eastAsia" w:asciiTheme="minorEastAsia" w:hAnsiTheme="minorEastAsia"/>
          <w:lang w:eastAsia="zh-CN"/>
        </w:rPr>
        <w:t>，即老三提起撤销之诉，老大和老二的案件进入再审程序，处理如下：</w:t>
      </w:r>
    </w:p>
    <w:p>
      <w:pPr>
        <w:numPr>
          <w:ilvl w:val="0"/>
          <w:numId w:val="1"/>
        </w:numPr>
        <w:spacing w:line="360" w:lineRule="auto"/>
        <w:ind w:firstLine="420" w:firstLineChars="200"/>
        <w:rPr>
          <w:rFonts w:hint="eastAsia" w:asciiTheme="minorEastAsia" w:hAnsiTheme="minorEastAsia"/>
        </w:rPr>
      </w:pPr>
      <w:r>
        <w:rPr>
          <w:rFonts w:hint="eastAsia" w:asciiTheme="minorEastAsia" w:hAnsiTheme="minorEastAsia"/>
        </w:rPr>
        <w:t>原则上老三的第三人撤销之诉并入老大老二的再审程序，分为两种处理：第一、适用第一审普通程序再审，调解不成，作出判决，可以上诉；第二、适用第二程序再审，调解不成，发回重审，重审时列明老三。</w:t>
      </w:r>
      <w:r>
        <w:rPr>
          <w:rFonts w:hint="eastAsia" w:asciiTheme="minorEastAsia" w:hAnsiTheme="minorEastAsia"/>
          <w:lang w:eastAsia="zh-CN"/>
        </w:rPr>
        <w:t>【民诉解释</w:t>
      </w:r>
      <w:r>
        <w:rPr>
          <w:rFonts w:hint="eastAsia" w:asciiTheme="minorEastAsia" w:hAnsiTheme="minorEastAsia"/>
          <w:lang w:val="en-US" w:eastAsia="zh-CN"/>
        </w:rPr>
        <w:t>301条与302条</w:t>
      </w:r>
      <w:r>
        <w:rPr>
          <w:rFonts w:hint="eastAsia" w:asciiTheme="minorEastAsia" w:hAnsiTheme="minorEastAsia"/>
          <w:lang w:eastAsia="zh-CN"/>
        </w:rPr>
        <w:t>】</w:t>
      </w:r>
    </w:p>
    <w:p>
      <w:pPr>
        <w:numPr>
          <w:ilvl w:val="0"/>
          <w:numId w:val="0"/>
        </w:numPr>
        <w:spacing w:line="360" w:lineRule="auto"/>
        <w:ind w:firstLine="420" w:firstLineChars="200"/>
        <w:rPr>
          <w:rFonts w:hint="eastAsia" w:asciiTheme="minorEastAsia" w:hAnsiTheme="minorEastAsia" w:eastAsiaTheme="minorEastAsia"/>
          <w:lang w:eastAsia="zh-CN"/>
        </w:rPr>
      </w:pPr>
      <w:r>
        <w:rPr>
          <w:rFonts w:hint="eastAsia" w:asciiTheme="minorEastAsia" w:hAnsiTheme="minorEastAsia"/>
        </w:rPr>
        <w:t>（2）如果老大与老二恶意串通损害老三利益的，先行审理第三人撤销之诉，裁定中止再审程序，分为两种处理：第一、第三人撤销之诉审理后，判决改判或者撤销原判决，裁定终结再审程序；第二、第三人撤销之诉审理后，判决驳回第三人诉讼请求，再审程序恢复审理。</w:t>
      </w:r>
      <w:r>
        <w:rPr>
          <w:rFonts w:hint="eastAsia" w:asciiTheme="minorEastAsia" w:hAnsiTheme="minorEastAsia"/>
          <w:lang w:eastAsia="zh-CN"/>
        </w:rPr>
        <w:t>【民诉解释</w:t>
      </w:r>
      <w:r>
        <w:rPr>
          <w:rFonts w:hint="eastAsia" w:asciiTheme="minorEastAsia" w:hAnsiTheme="minorEastAsia"/>
          <w:lang w:val="en-US" w:eastAsia="zh-CN"/>
        </w:rPr>
        <w:t>301条</w:t>
      </w:r>
      <w:r>
        <w:rPr>
          <w:rFonts w:hint="eastAsia" w:asciiTheme="minorEastAsia" w:hAnsiTheme="minorEastAsia"/>
          <w:lang w:eastAsia="zh-CN"/>
        </w:rPr>
        <w:t>】</w:t>
      </w:r>
    </w:p>
    <w:p>
      <w:pPr>
        <w:spacing w:line="360" w:lineRule="auto"/>
        <w:rPr>
          <w:rFonts w:hint="eastAsia" w:asciiTheme="minorEastAsia" w:hAnsiTheme="minorEastAsia"/>
        </w:rPr>
      </w:pPr>
      <w:r>
        <w:rPr>
          <w:rFonts w:hint="eastAsia" w:asciiTheme="minorEastAsia" w:hAnsiTheme="minorEastAsia"/>
        </w:rPr>
        <w:t>【注意】如果案例中出现无独立请求权的第三人，判决生效后，无独立请求权第三人</w:t>
      </w:r>
      <w:r>
        <w:rPr>
          <w:rFonts w:hint="eastAsia" w:asciiTheme="minorEastAsia" w:hAnsiTheme="minorEastAsia"/>
          <w:lang w:eastAsia="zh-CN"/>
        </w:rPr>
        <w:t>作为案外人的救济</w:t>
      </w:r>
      <w:r>
        <w:rPr>
          <w:rFonts w:hint="eastAsia" w:asciiTheme="minorEastAsia" w:hAnsiTheme="minorEastAsia"/>
        </w:rPr>
        <w:t>程序与上述有独立请求权第三人是相同的。</w:t>
      </w:r>
    </w:p>
    <w:p>
      <w:pPr>
        <w:spacing w:line="360" w:lineRule="auto"/>
        <w:rPr>
          <w:rFonts w:asciiTheme="minorEastAsia" w:hAnsiTheme="minorEastAsia"/>
        </w:rPr>
      </w:pPr>
    </w:p>
    <w:p>
      <w:pPr>
        <w:numPr>
          <w:ilvl w:val="0"/>
          <w:numId w:val="0"/>
        </w:numPr>
        <w:spacing w:line="360" w:lineRule="auto"/>
        <w:ind w:left="420" w:leftChars="0"/>
        <w:rPr>
          <w:rFonts w:hint="eastAsia" w:asciiTheme="minorEastAsia" w:hAnsiTheme="minorEastAsia"/>
          <w:lang w:val="en-US" w:eastAsia="zh-CN"/>
        </w:rPr>
      </w:pPr>
      <w:r>
        <w:rPr>
          <w:rFonts w:hint="eastAsia" w:asciiTheme="minorEastAsia" w:hAnsiTheme="minorEastAsia"/>
          <w:lang w:val="en-US" w:eastAsia="zh-CN"/>
        </w:rPr>
        <w:t xml:space="preserve"> </w:t>
      </w:r>
    </w:p>
    <w:p>
      <w:pPr>
        <w:spacing w:line="360" w:lineRule="auto"/>
        <w:rPr>
          <w:rFonts w:hint="eastAsia" w:asciiTheme="minorEastAsia" w:hAnsiTheme="minorEastAsia"/>
          <w:lang w:val="en-US" w:eastAsia="zh-CN"/>
        </w:rPr>
      </w:pPr>
    </w:p>
    <w:p>
      <w:pPr>
        <w:spacing w:line="360" w:lineRule="auto"/>
        <w:rPr>
          <w:rFonts w:hint="eastAsia" w:asciiTheme="minorEastAsia" w:hAnsiTheme="minorEastAsia"/>
          <w:lang w:val="en-US" w:eastAsia="zh-CN"/>
        </w:rPr>
      </w:pPr>
    </w:p>
    <w:p>
      <w:pPr>
        <w:spacing w:line="360" w:lineRule="auto"/>
        <w:rPr>
          <w:rFonts w:hint="eastAsia" w:asciiTheme="minorEastAsia" w:hAnsiTheme="minorEastAsia"/>
          <w:lang w:val="en-US" w:eastAsia="zh-CN"/>
        </w:rPr>
      </w:pPr>
    </w:p>
    <w:p>
      <w:pPr>
        <w:spacing w:line="360" w:lineRule="auto"/>
        <w:rPr>
          <w:rFonts w:hint="eastAsia" w:asciiTheme="minorEastAsia" w:hAnsiTheme="minorEastAsia"/>
          <w:lang w:val="en-US" w:eastAsia="zh-CN"/>
        </w:rPr>
      </w:pPr>
    </w:p>
    <w:p>
      <w:pPr>
        <w:spacing w:line="360" w:lineRule="auto"/>
        <w:rPr>
          <w:rFonts w:hint="eastAsia" w:asciiTheme="minorEastAsia" w:hAnsiTheme="minorEastAsia"/>
          <w:lang w:val="en-US" w:eastAsia="zh-CN"/>
        </w:rPr>
      </w:pPr>
    </w:p>
    <w:p>
      <w:pPr>
        <w:spacing w:line="360" w:lineRule="auto"/>
        <w:rPr>
          <w:rFonts w:hint="eastAsia" w:asciiTheme="minorEastAsia" w:hAnsiTheme="minorEastAsia" w:eastAsiaTheme="minorEastAsia"/>
          <w:lang w:val="en-US" w:eastAsia="zh-CN"/>
        </w:rPr>
      </w:pPr>
      <w:r>
        <w:rPr>
          <w:rFonts w:hint="eastAsia" w:asciiTheme="minorEastAsia" w:hAnsiTheme="minor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C9C1"/>
    <w:multiLevelType w:val="singleLevel"/>
    <w:tmpl w:val="0F2EC9C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D0"/>
    <w:rsid w:val="00157843"/>
    <w:rsid w:val="003522A4"/>
    <w:rsid w:val="003C6632"/>
    <w:rsid w:val="009875B6"/>
    <w:rsid w:val="00B32420"/>
    <w:rsid w:val="00C24CB4"/>
    <w:rsid w:val="00CD1545"/>
    <w:rsid w:val="00ED2ED0"/>
    <w:rsid w:val="01A46E12"/>
    <w:rsid w:val="06075E1A"/>
    <w:rsid w:val="068D0419"/>
    <w:rsid w:val="07156DE0"/>
    <w:rsid w:val="07C27B79"/>
    <w:rsid w:val="07F847A3"/>
    <w:rsid w:val="0AB43C8B"/>
    <w:rsid w:val="0CC154C1"/>
    <w:rsid w:val="0D281957"/>
    <w:rsid w:val="0D59258B"/>
    <w:rsid w:val="101F1578"/>
    <w:rsid w:val="103A5E7C"/>
    <w:rsid w:val="10512A62"/>
    <w:rsid w:val="10972CD5"/>
    <w:rsid w:val="113B67F9"/>
    <w:rsid w:val="119B56ED"/>
    <w:rsid w:val="122F1797"/>
    <w:rsid w:val="1246447C"/>
    <w:rsid w:val="127E194A"/>
    <w:rsid w:val="14DB44E9"/>
    <w:rsid w:val="15F40F50"/>
    <w:rsid w:val="1617493B"/>
    <w:rsid w:val="16E6744B"/>
    <w:rsid w:val="1795304B"/>
    <w:rsid w:val="17A91500"/>
    <w:rsid w:val="18AD0843"/>
    <w:rsid w:val="18C85FF2"/>
    <w:rsid w:val="1A19175B"/>
    <w:rsid w:val="1A564A11"/>
    <w:rsid w:val="1C7F6BAF"/>
    <w:rsid w:val="1D994887"/>
    <w:rsid w:val="1EAB7102"/>
    <w:rsid w:val="1F90419D"/>
    <w:rsid w:val="20A42072"/>
    <w:rsid w:val="20A9411D"/>
    <w:rsid w:val="2161307C"/>
    <w:rsid w:val="23DA7AE5"/>
    <w:rsid w:val="24B23C10"/>
    <w:rsid w:val="253E3F6E"/>
    <w:rsid w:val="28B96A77"/>
    <w:rsid w:val="29A91B1B"/>
    <w:rsid w:val="29B902E7"/>
    <w:rsid w:val="2DC52B9B"/>
    <w:rsid w:val="2F872CA7"/>
    <w:rsid w:val="30FF3CCB"/>
    <w:rsid w:val="339C5670"/>
    <w:rsid w:val="341B1B20"/>
    <w:rsid w:val="35315EAD"/>
    <w:rsid w:val="367040B3"/>
    <w:rsid w:val="36D464F6"/>
    <w:rsid w:val="36EE0261"/>
    <w:rsid w:val="37A325BA"/>
    <w:rsid w:val="38F0613B"/>
    <w:rsid w:val="3986149E"/>
    <w:rsid w:val="39FB24C6"/>
    <w:rsid w:val="3B443337"/>
    <w:rsid w:val="3B5A2B35"/>
    <w:rsid w:val="3D266702"/>
    <w:rsid w:val="3E3650FE"/>
    <w:rsid w:val="40351AAB"/>
    <w:rsid w:val="406339AF"/>
    <w:rsid w:val="4063467E"/>
    <w:rsid w:val="424D00DC"/>
    <w:rsid w:val="424D6FD6"/>
    <w:rsid w:val="43444F9B"/>
    <w:rsid w:val="459832A4"/>
    <w:rsid w:val="46F53238"/>
    <w:rsid w:val="47FF2905"/>
    <w:rsid w:val="489B5D77"/>
    <w:rsid w:val="48FA3A86"/>
    <w:rsid w:val="4AF24F0E"/>
    <w:rsid w:val="4BA624F6"/>
    <w:rsid w:val="4D4C25BC"/>
    <w:rsid w:val="4DBD6608"/>
    <w:rsid w:val="4DE06ACD"/>
    <w:rsid w:val="4E893D10"/>
    <w:rsid w:val="4F3C03FC"/>
    <w:rsid w:val="50F641ED"/>
    <w:rsid w:val="5139277D"/>
    <w:rsid w:val="516A2EDF"/>
    <w:rsid w:val="51757381"/>
    <w:rsid w:val="51A76905"/>
    <w:rsid w:val="53823968"/>
    <w:rsid w:val="539615B0"/>
    <w:rsid w:val="550C680A"/>
    <w:rsid w:val="565602CF"/>
    <w:rsid w:val="57A574A3"/>
    <w:rsid w:val="57BD1308"/>
    <w:rsid w:val="588132B4"/>
    <w:rsid w:val="59DB21BE"/>
    <w:rsid w:val="5BC722A2"/>
    <w:rsid w:val="5BD76E3B"/>
    <w:rsid w:val="5C1D76C4"/>
    <w:rsid w:val="5C2131B1"/>
    <w:rsid w:val="5C245B24"/>
    <w:rsid w:val="5C6A226C"/>
    <w:rsid w:val="5D4612EE"/>
    <w:rsid w:val="5D973C5C"/>
    <w:rsid w:val="5E721440"/>
    <w:rsid w:val="60D900DA"/>
    <w:rsid w:val="61965136"/>
    <w:rsid w:val="623629E3"/>
    <w:rsid w:val="62C1520F"/>
    <w:rsid w:val="65793031"/>
    <w:rsid w:val="65B76AF2"/>
    <w:rsid w:val="65E00D19"/>
    <w:rsid w:val="66473C78"/>
    <w:rsid w:val="67D17CAF"/>
    <w:rsid w:val="67EC795C"/>
    <w:rsid w:val="69E032F2"/>
    <w:rsid w:val="6A674167"/>
    <w:rsid w:val="6B2B4DFA"/>
    <w:rsid w:val="6BA47D19"/>
    <w:rsid w:val="6C0E4488"/>
    <w:rsid w:val="6D8B793C"/>
    <w:rsid w:val="704D35D5"/>
    <w:rsid w:val="719D1026"/>
    <w:rsid w:val="72777B58"/>
    <w:rsid w:val="72B56A88"/>
    <w:rsid w:val="74423845"/>
    <w:rsid w:val="74785661"/>
    <w:rsid w:val="76FE633C"/>
    <w:rsid w:val="77EF324A"/>
    <w:rsid w:val="788C7E1B"/>
    <w:rsid w:val="79F0064C"/>
    <w:rsid w:val="79F724B2"/>
    <w:rsid w:val="7AAE122F"/>
    <w:rsid w:val="7AB35B9A"/>
    <w:rsid w:val="7AD20888"/>
    <w:rsid w:val="7BD7398B"/>
    <w:rsid w:val="7BF828DA"/>
    <w:rsid w:val="7DFB6D7F"/>
    <w:rsid w:val="7E5E0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197</Words>
  <Characters>1125</Characters>
  <Lines>9</Lines>
  <Paragraphs>2</Paragraphs>
  <TotalTime>7</TotalTime>
  <ScaleCrop>false</ScaleCrop>
  <LinksUpToDate>false</LinksUpToDate>
  <CharactersWithSpaces>1320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2017-05-31T13:28:00Z</dcterms:created>
  <dc:creator>杨秀清</dc:creator>
  <cp:lastModifiedBy>school01</cp:lastModifiedBy>
  <dcterms:modified xsi:type="dcterms:W3CDTF">2020-02-25T08:45:11Z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