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287" w:tblpY="13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3540"/>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03" w:hRule="atLeast"/>
        </w:trPr>
        <w:tc>
          <w:tcPr>
            <w:tcW w:w="5750" w:type="dxa"/>
            <w:gridSpan w:val="2"/>
            <w:noWrap w:val="0"/>
            <w:vAlign w:val="top"/>
          </w:tcPr>
          <w:p>
            <w:pPr>
              <w:spacing w:line="440" w:lineRule="exact"/>
              <w:rPr>
                <w:rFonts w:hint="eastAsia" w:ascii="宋体" w:hAnsi="宋体"/>
                <w:sz w:val="24"/>
              </w:rPr>
            </w:pPr>
            <w:bookmarkStart w:id="0" w:name="_GoBack"/>
            <w:bookmarkEnd w:id="0"/>
            <w:r>
              <w:rPr>
                <w:rFonts w:hint="eastAsia" w:ascii="宋体" w:hAnsi="宋体"/>
                <w:sz w:val="24"/>
              </w:rPr>
              <w:t>题目:</w:t>
            </w:r>
            <w:r>
              <w:rPr>
                <w:rFonts w:hint="eastAsia" w:ascii="宋体" w:hAnsi="宋体"/>
                <w:b/>
                <w:bCs/>
              </w:rPr>
              <w:t xml:space="preserve"> </w:t>
            </w:r>
            <w:r>
              <w:rPr>
                <w:rFonts w:hint="eastAsia" w:ascii="宋体" w:hAnsi="宋体"/>
                <w:b/>
                <w:bCs/>
                <w:sz w:val="24"/>
              </w:rPr>
              <w:t>人员培训内容管理制度</w:t>
            </w:r>
          </w:p>
        </w:tc>
        <w:tc>
          <w:tcPr>
            <w:tcW w:w="3948" w:type="dxa"/>
            <w:noWrap w:val="0"/>
            <w:vAlign w:val="center"/>
          </w:tcPr>
          <w:p>
            <w:pPr>
              <w:spacing w:line="440" w:lineRule="exact"/>
              <w:rPr>
                <w:rFonts w:hint="eastAsia" w:ascii="宋体" w:hAnsi="宋体"/>
                <w:sz w:val="24"/>
              </w:rPr>
            </w:pPr>
            <w:r>
              <w:rPr>
                <w:rFonts w:hint="eastAsia" w:ascii="宋体" w:hAnsi="宋体"/>
                <w:sz w:val="24"/>
              </w:rPr>
              <w:t>编  号: SMP-02-003-00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18" w:hRule="atLeast"/>
        </w:trPr>
        <w:tc>
          <w:tcPr>
            <w:tcW w:w="2210" w:type="dxa"/>
            <w:noWrap w:val="0"/>
            <w:vAlign w:val="center"/>
          </w:tcPr>
          <w:p>
            <w:pPr>
              <w:spacing w:line="440" w:lineRule="exact"/>
              <w:rPr>
                <w:rFonts w:hint="eastAsia" w:ascii="宋体" w:hAnsi="宋体"/>
                <w:sz w:val="24"/>
              </w:rPr>
            </w:pPr>
            <w:r>
              <w:rPr>
                <w:rFonts w:hint="eastAsia" w:ascii="宋体" w:hAnsi="宋体"/>
                <w:sz w:val="24"/>
              </w:rPr>
              <w:t>制定人:</w:t>
            </w:r>
          </w:p>
        </w:tc>
        <w:tc>
          <w:tcPr>
            <w:tcW w:w="3540" w:type="dxa"/>
            <w:noWrap w:val="0"/>
            <w:vAlign w:val="center"/>
          </w:tcPr>
          <w:p>
            <w:pPr>
              <w:spacing w:line="440" w:lineRule="exact"/>
              <w:rPr>
                <w:rFonts w:hint="eastAsia" w:ascii="宋体" w:hAnsi="宋体"/>
                <w:sz w:val="24"/>
              </w:rPr>
            </w:pPr>
            <w:r>
              <w:rPr>
                <w:rFonts w:hint="eastAsia" w:ascii="宋体" w:hAnsi="宋体"/>
                <w:sz w:val="24"/>
              </w:rPr>
              <w:t>制定日期:    年   月   日</w:t>
            </w:r>
          </w:p>
        </w:tc>
        <w:tc>
          <w:tcPr>
            <w:tcW w:w="3948" w:type="dxa"/>
            <w:noWrap w:val="0"/>
            <w:vAlign w:val="center"/>
          </w:tcPr>
          <w:p>
            <w:pPr>
              <w:spacing w:line="440" w:lineRule="exact"/>
              <w:rPr>
                <w:rFonts w:hint="eastAsia" w:ascii="宋体" w:hAnsi="宋体"/>
                <w:sz w:val="24"/>
              </w:rPr>
            </w:pPr>
            <w:r>
              <w:rPr>
                <w:rFonts w:hint="eastAsia" w:ascii="宋体" w:hAnsi="宋体"/>
                <w:sz w:val="24"/>
              </w:rPr>
              <w:t>版  本: 2017年第1版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3" w:hRule="atLeast"/>
        </w:trPr>
        <w:tc>
          <w:tcPr>
            <w:tcW w:w="2210" w:type="dxa"/>
            <w:noWrap w:val="0"/>
            <w:vAlign w:val="center"/>
          </w:tcPr>
          <w:p>
            <w:pPr>
              <w:spacing w:line="440" w:lineRule="exact"/>
              <w:rPr>
                <w:rFonts w:hint="eastAsia" w:ascii="宋体" w:hAnsi="宋体"/>
                <w:sz w:val="24"/>
              </w:rPr>
            </w:pPr>
            <w:r>
              <w:rPr>
                <w:rFonts w:hint="eastAsia" w:ascii="宋体" w:hAnsi="宋体"/>
                <w:sz w:val="24"/>
              </w:rPr>
              <w:t>审核人:</w:t>
            </w:r>
          </w:p>
        </w:tc>
        <w:tc>
          <w:tcPr>
            <w:tcW w:w="3540" w:type="dxa"/>
            <w:noWrap w:val="0"/>
            <w:vAlign w:val="center"/>
          </w:tcPr>
          <w:p>
            <w:pPr>
              <w:spacing w:line="440" w:lineRule="exact"/>
              <w:rPr>
                <w:rFonts w:hint="eastAsia" w:ascii="宋体" w:hAnsi="宋体"/>
                <w:sz w:val="24"/>
              </w:rPr>
            </w:pPr>
            <w:r>
              <w:rPr>
                <w:rFonts w:hint="eastAsia" w:ascii="宋体" w:hAnsi="宋体"/>
                <w:sz w:val="24"/>
              </w:rPr>
              <w:t>审核日期:    年   月   日</w:t>
            </w:r>
          </w:p>
        </w:tc>
        <w:tc>
          <w:tcPr>
            <w:tcW w:w="3948" w:type="dxa"/>
            <w:noWrap w:val="0"/>
            <w:vAlign w:val="center"/>
          </w:tcPr>
          <w:p>
            <w:pPr>
              <w:spacing w:line="440" w:lineRule="exact"/>
              <w:rPr>
                <w:rFonts w:hint="eastAsia" w:ascii="宋体" w:hAnsi="宋体"/>
                <w:sz w:val="24"/>
              </w:rPr>
            </w:pPr>
            <w:r>
              <w:rPr>
                <w:rFonts w:hint="eastAsia" w:ascii="宋体" w:hAnsi="宋体"/>
                <w:sz w:val="24"/>
              </w:rPr>
              <w:t>颁发部门: 行政部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3" w:hRule="atLeast"/>
        </w:trPr>
        <w:tc>
          <w:tcPr>
            <w:tcW w:w="2210" w:type="dxa"/>
            <w:noWrap w:val="0"/>
            <w:vAlign w:val="center"/>
          </w:tcPr>
          <w:p>
            <w:pPr>
              <w:spacing w:line="440" w:lineRule="exact"/>
              <w:rPr>
                <w:rFonts w:hint="eastAsia" w:ascii="宋体" w:hAnsi="宋体"/>
                <w:sz w:val="24"/>
              </w:rPr>
            </w:pPr>
            <w:r>
              <w:rPr>
                <w:rFonts w:hint="eastAsia" w:ascii="宋体" w:hAnsi="宋体"/>
                <w:sz w:val="24"/>
              </w:rPr>
              <w:t>批准人:</w:t>
            </w:r>
          </w:p>
        </w:tc>
        <w:tc>
          <w:tcPr>
            <w:tcW w:w="3540" w:type="dxa"/>
            <w:noWrap w:val="0"/>
            <w:vAlign w:val="center"/>
          </w:tcPr>
          <w:p>
            <w:pPr>
              <w:spacing w:line="440" w:lineRule="exact"/>
              <w:rPr>
                <w:rFonts w:hint="eastAsia" w:ascii="宋体" w:hAnsi="宋体"/>
                <w:sz w:val="24"/>
              </w:rPr>
            </w:pPr>
            <w:r>
              <w:rPr>
                <w:rFonts w:hint="eastAsia" w:ascii="宋体" w:hAnsi="宋体"/>
                <w:sz w:val="24"/>
              </w:rPr>
              <w:t>批准日期:    年   月   日</w:t>
            </w:r>
          </w:p>
        </w:tc>
        <w:tc>
          <w:tcPr>
            <w:tcW w:w="3948" w:type="dxa"/>
            <w:noWrap w:val="0"/>
            <w:vAlign w:val="center"/>
          </w:tcPr>
          <w:p>
            <w:pPr>
              <w:spacing w:line="440" w:lineRule="exact"/>
              <w:rPr>
                <w:rFonts w:hint="eastAsia" w:ascii="宋体" w:hAnsi="宋体"/>
                <w:sz w:val="24"/>
              </w:rPr>
            </w:pPr>
            <w:r>
              <w:rPr>
                <w:rFonts w:hint="eastAsia" w:ascii="宋体" w:hAnsi="宋体"/>
                <w:sz w:val="24"/>
              </w:rPr>
              <w:t>实施日期: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318" w:hRule="atLeast"/>
        </w:trPr>
        <w:tc>
          <w:tcPr>
            <w:tcW w:w="9698" w:type="dxa"/>
            <w:gridSpan w:val="3"/>
            <w:noWrap w:val="0"/>
            <w:vAlign w:val="center"/>
          </w:tcPr>
          <w:p>
            <w:pPr>
              <w:spacing w:line="440" w:lineRule="exact"/>
              <w:rPr>
                <w:rFonts w:hint="eastAsia" w:ascii="宋体" w:hAnsi="宋体"/>
                <w:sz w:val="24"/>
              </w:rPr>
            </w:pPr>
            <w:r>
              <w:rPr>
                <w:rFonts w:hint="eastAsia" w:ascii="宋体" w:hAnsi="宋体"/>
                <w:sz w:val="24"/>
              </w:rPr>
              <w:t>分发部门: 质量部、生产部、供应部、设备部、销售部、仓储部、行政部、财务部</w:t>
            </w:r>
          </w:p>
        </w:tc>
      </w:tr>
    </w:tbl>
    <w:p>
      <w:pPr>
        <w:spacing w:line="420" w:lineRule="exact"/>
        <w:ind w:firstLine="480" w:firstLineChars="200"/>
        <w:rPr>
          <w:rFonts w:hint="eastAsia" w:ascii="宋体" w:hAnsi="宋体"/>
          <w:sz w:val="24"/>
        </w:rPr>
      </w:pPr>
      <w:r>
        <w:rPr>
          <w:rFonts w:hint="eastAsia" w:ascii="宋体" w:hAnsi="宋体"/>
          <w:b/>
          <w:bCs/>
          <w:sz w:val="24"/>
        </w:rPr>
        <w:t>目的:</w:t>
      </w:r>
      <w:r>
        <w:rPr>
          <w:rFonts w:hint="eastAsia" w:ascii="宋体" w:hAnsi="宋体"/>
          <w:sz w:val="24"/>
        </w:rPr>
        <w:t xml:space="preserve"> 规范公司人员培训内容，保证培训的效果</w:t>
      </w:r>
    </w:p>
    <w:p>
      <w:pPr>
        <w:spacing w:line="420" w:lineRule="exact"/>
        <w:ind w:firstLine="480" w:firstLineChars="200"/>
        <w:rPr>
          <w:rFonts w:hint="eastAsia" w:ascii="宋体" w:hAnsi="宋体"/>
          <w:sz w:val="24"/>
        </w:rPr>
      </w:pPr>
      <w:r>
        <w:rPr>
          <w:rFonts w:hint="eastAsia" w:ascii="宋体" w:hAnsi="宋体"/>
          <w:b/>
          <w:bCs/>
          <w:sz w:val="24"/>
        </w:rPr>
        <w:t>范围:</w:t>
      </w:r>
      <w:r>
        <w:rPr>
          <w:rFonts w:ascii="宋体" w:hAnsi="宋体"/>
          <w:sz w:val="24"/>
        </w:rPr>
        <w:t xml:space="preserve"> </w:t>
      </w:r>
      <w:r>
        <w:rPr>
          <w:rFonts w:hint="eastAsia" w:ascii="宋体" w:hAnsi="宋体"/>
          <w:sz w:val="24"/>
        </w:rPr>
        <w:t>本公司所有的机构与人员</w:t>
      </w:r>
    </w:p>
    <w:p>
      <w:pPr>
        <w:spacing w:line="420" w:lineRule="exact"/>
        <w:ind w:firstLine="480" w:firstLineChars="200"/>
        <w:rPr>
          <w:rFonts w:ascii="宋体" w:hAnsi="宋体"/>
          <w:color w:val="000000"/>
          <w:sz w:val="24"/>
        </w:rPr>
      </w:pPr>
      <w:r>
        <w:rPr>
          <w:rFonts w:hint="eastAsia" w:ascii="宋体" w:hAnsi="宋体"/>
          <w:b/>
          <w:bCs/>
          <w:color w:val="000000"/>
          <w:sz w:val="24"/>
        </w:rPr>
        <w:t>编制</w:t>
      </w:r>
      <w:r>
        <w:rPr>
          <w:rFonts w:ascii="宋体" w:hAnsi="宋体"/>
          <w:b/>
          <w:bCs/>
          <w:color w:val="000000"/>
          <w:sz w:val="24"/>
        </w:rPr>
        <w:t>标准：</w:t>
      </w:r>
      <w:r>
        <w:rPr>
          <w:rFonts w:ascii="宋体" w:hAnsi="宋体"/>
          <w:color w:val="000000"/>
          <w:sz w:val="24"/>
        </w:rPr>
        <w:t>《</w:t>
      </w:r>
      <w:r>
        <w:rPr>
          <w:rFonts w:hint="eastAsia" w:ascii="宋体" w:hAnsi="宋体"/>
          <w:color w:val="000000"/>
          <w:sz w:val="24"/>
        </w:rPr>
        <w:t>药品生产质量管理规范</w:t>
      </w:r>
      <w:r>
        <w:rPr>
          <w:rFonts w:ascii="宋体" w:hAnsi="宋体"/>
          <w:color w:val="000000"/>
          <w:sz w:val="24"/>
        </w:rPr>
        <w:t>》2010年修订版、《中药饮片》附录。</w:t>
      </w:r>
    </w:p>
    <w:p>
      <w:pPr>
        <w:spacing w:line="420" w:lineRule="exact"/>
        <w:ind w:firstLine="480" w:firstLineChars="200"/>
        <w:rPr>
          <w:rFonts w:hint="eastAsia" w:ascii="宋体" w:hAnsi="宋体"/>
          <w:color w:val="000000"/>
          <w:sz w:val="24"/>
        </w:rPr>
      </w:pPr>
      <w:r>
        <w:rPr>
          <w:rFonts w:ascii="宋体" w:hAnsi="宋体"/>
          <w:b/>
          <w:bCs/>
          <w:color w:val="000000"/>
          <w:sz w:val="24"/>
        </w:rPr>
        <w:t>责任：</w:t>
      </w:r>
      <w:r>
        <w:rPr>
          <w:rFonts w:hint="eastAsia" w:ascii="宋体" w:hAnsi="宋体"/>
          <w:color w:val="000000"/>
          <w:sz w:val="24"/>
        </w:rPr>
        <w:t>公司个部门负责人</w:t>
      </w:r>
    </w:p>
    <w:p>
      <w:pPr>
        <w:spacing w:line="420" w:lineRule="exact"/>
        <w:ind w:firstLine="480" w:firstLineChars="200"/>
        <w:rPr>
          <w:rFonts w:hint="eastAsia" w:ascii="宋体" w:hAnsi="宋体"/>
          <w:b/>
          <w:bCs/>
          <w:color w:val="000000"/>
          <w:sz w:val="24"/>
        </w:rPr>
      </w:pPr>
      <w:r>
        <w:rPr>
          <w:rFonts w:ascii="宋体" w:hAnsi="宋体"/>
          <w:b/>
          <w:bCs/>
          <w:color w:val="000000"/>
          <w:sz w:val="24"/>
        </w:rPr>
        <w:t>内容：</w:t>
      </w:r>
    </w:p>
    <w:p>
      <w:pPr>
        <w:spacing w:line="420" w:lineRule="exact"/>
        <w:ind w:firstLine="480" w:firstLineChars="200"/>
        <w:rPr>
          <w:rFonts w:hint="eastAsia" w:ascii="宋体" w:hAnsi="宋体"/>
          <w:sz w:val="24"/>
        </w:rPr>
      </w:pPr>
      <w:r>
        <w:rPr>
          <w:rFonts w:hint="eastAsia" w:ascii="宋体" w:hAnsi="宋体"/>
          <w:sz w:val="24"/>
        </w:rPr>
        <w:t>1、每年年初由各职能部门向行政部反馈本部门的培训需求和计划，行政部统筹安排全公司的培训方案或计划，报生产管理负责人或质量管理负责人审核或批准后执行。</w:t>
      </w:r>
    </w:p>
    <w:p>
      <w:pPr>
        <w:spacing w:line="420" w:lineRule="exact"/>
        <w:ind w:firstLine="480" w:firstLineChars="200"/>
        <w:rPr>
          <w:rFonts w:hint="eastAsia" w:ascii="宋体" w:hAnsi="宋体"/>
          <w:sz w:val="24"/>
        </w:rPr>
      </w:pPr>
      <w:r>
        <w:rPr>
          <w:rFonts w:hint="eastAsia" w:ascii="宋体" w:hAnsi="宋体"/>
          <w:sz w:val="24"/>
        </w:rPr>
        <w:t>2、各职能部门根据公司培训方案或计划，组织安排本部门的培训计划和培训内容。</w:t>
      </w:r>
    </w:p>
    <w:p>
      <w:pPr>
        <w:spacing w:line="420" w:lineRule="exact"/>
        <w:ind w:firstLine="480" w:firstLineChars="200"/>
        <w:rPr>
          <w:rFonts w:hint="eastAsia" w:ascii="宋体" w:hAnsi="宋体"/>
          <w:b/>
          <w:bCs/>
          <w:sz w:val="24"/>
        </w:rPr>
      </w:pPr>
      <w:r>
        <w:rPr>
          <w:rFonts w:hint="eastAsia" w:ascii="宋体" w:hAnsi="宋体"/>
          <w:b/>
          <w:bCs/>
          <w:sz w:val="24"/>
        </w:rPr>
        <w:t>3、初级培训</w:t>
      </w:r>
    </w:p>
    <w:p>
      <w:pPr>
        <w:spacing w:line="420" w:lineRule="exact"/>
        <w:ind w:firstLine="480" w:firstLineChars="200"/>
        <w:rPr>
          <w:rFonts w:hint="eastAsia" w:ascii="宋体" w:hAnsi="宋体"/>
          <w:sz w:val="24"/>
        </w:rPr>
      </w:pPr>
      <w:r>
        <w:rPr>
          <w:rFonts w:hint="eastAsia" w:ascii="宋体" w:hAnsi="宋体"/>
          <w:sz w:val="24"/>
        </w:rPr>
        <w:t>3.1、所有新招聘的员工，不管其是否来自制药公司，均必须经过初级培训。初级培训一般应从职工录用之日起一个月内进行，内容包括：本公司的概况及基本管理制度。应特别强调劳动纪律教育，让新员工牢记公司的各项规定，并视为行为准则。</w:t>
      </w:r>
    </w:p>
    <w:p>
      <w:pPr>
        <w:spacing w:line="420" w:lineRule="exact"/>
        <w:ind w:firstLine="480" w:firstLineChars="200"/>
        <w:rPr>
          <w:rFonts w:hint="eastAsia" w:ascii="宋体" w:hAnsi="宋体"/>
          <w:sz w:val="24"/>
        </w:rPr>
      </w:pPr>
      <w:r>
        <w:rPr>
          <w:rFonts w:hint="eastAsia" w:ascii="宋体" w:hAnsi="宋体"/>
          <w:sz w:val="24"/>
        </w:rPr>
        <w:t>3.2、GMP基本知识培训：培训内容因人而宜，顺序渐进。对基层作业人员，应以GMP的基础知识为主，以实例讨论入手，解释GMP的规定，切忌照本宣读。对有一定学历和知识背景，不直接从事中药饮片生产及质量管理的人员，如设备维修人员、辅助系统的操作及管理人员可简要的介绍GMP的历史，发展过程，原则规定与实施方法的内在联系等，让他们掌握GMP的基本知识。</w:t>
      </w:r>
    </w:p>
    <w:p>
      <w:pPr>
        <w:spacing w:line="420" w:lineRule="exact"/>
        <w:ind w:firstLine="480" w:firstLineChars="200"/>
        <w:rPr>
          <w:rFonts w:hint="eastAsia" w:ascii="宋体" w:hAnsi="宋体"/>
          <w:sz w:val="24"/>
        </w:rPr>
      </w:pPr>
      <w:r>
        <w:rPr>
          <w:rFonts w:hint="eastAsia" w:ascii="宋体" w:hAnsi="宋体"/>
          <w:sz w:val="24"/>
        </w:rPr>
        <w:t>3.3、微生物学基础和个人卫生习惯的教育：有效控制及消除微生物污染是实施GMP的重要内容。了解微生物学的基础知识，如微生物的分类、危害性、基本结构、生长繁殖特点、杀菌方法等，对于员工养成良好的个人卫生习惯，减少微生物的危害是非常必要的。</w:t>
      </w:r>
    </w:p>
    <w:p>
      <w:pPr>
        <w:spacing w:line="420" w:lineRule="exact"/>
        <w:ind w:firstLine="480" w:firstLineChars="200"/>
        <w:rPr>
          <w:rFonts w:hint="eastAsia" w:ascii="宋体" w:hAnsi="宋体"/>
          <w:b/>
          <w:bCs/>
          <w:sz w:val="24"/>
        </w:rPr>
      </w:pPr>
      <w:r>
        <w:rPr>
          <w:rFonts w:hint="eastAsia" w:ascii="宋体" w:hAnsi="宋体"/>
          <w:b/>
          <w:bCs/>
          <w:sz w:val="24"/>
        </w:rPr>
        <w:t>4、岗位培训：</w:t>
      </w:r>
    </w:p>
    <w:p>
      <w:pPr>
        <w:spacing w:line="420" w:lineRule="exact"/>
        <w:ind w:firstLine="480" w:firstLineChars="200"/>
        <w:rPr>
          <w:rFonts w:hint="eastAsia" w:ascii="宋体" w:hAnsi="宋体"/>
          <w:sz w:val="24"/>
        </w:rPr>
      </w:pPr>
      <w:r>
        <w:rPr>
          <w:rFonts w:hint="eastAsia" w:ascii="宋体" w:hAnsi="宋体"/>
          <w:sz w:val="24"/>
        </w:rPr>
        <w:t>4.1、分配到特定岗位的员工，必须接受岗位操作制度和岗位技能的培训。员工应掌握标准操作制度及批生产记录等有关文件规定的具体内容和实际含义。</w:t>
      </w:r>
    </w:p>
    <w:p>
      <w:pPr>
        <w:spacing w:line="420" w:lineRule="exact"/>
        <w:ind w:firstLine="480" w:firstLineChars="200"/>
        <w:rPr>
          <w:rFonts w:hint="eastAsia" w:ascii="宋体" w:hAnsi="宋体"/>
          <w:sz w:val="24"/>
        </w:rPr>
      </w:pPr>
      <w:r>
        <w:rPr>
          <w:rFonts w:hint="eastAsia" w:ascii="宋体" w:hAnsi="宋体"/>
          <w:sz w:val="24"/>
        </w:rPr>
        <w:t>4.2、应特别注意教育员工养成及时在操作过程中作记录的习惯。记录是证明过程受控的唯一证据，凭估计、经验事先记录或凭记忆事后补遗是不允许的。</w:t>
      </w:r>
    </w:p>
    <w:p>
      <w:pPr>
        <w:spacing w:line="420" w:lineRule="exact"/>
        <w:ind w:firstLine="480" w:firstLineChars="200"/>
        <w:rPr>
          <w:rFonts w:hint="eastAsia" w:ascii="宋体" w:hAnsi="宋体"/>
          <w:sz w:val="24"/>
        </w:rPr>
      </w:pPr>
      <w:r>
        <w:rPr>
          <w:rFonts w:hint="eastAsia" w:ascii="宋体" w:hAnsi="宋体"/>
          <w:sz w:val="24"/>
        </w:rPr>
        <w:t>4.3、岗位实习：经过岗位位后的员工尚不能立即独立进行操作，尤其是重要操作，如清场必须在有资格进行独立操作的员工指导下作业，其记录也必须经指导者检查复核并签字后方可有效。经过一定时间的实习并经考核合格后，由行政部签发上岗证后方可独立操作。</w:t>
      </w:r>
    </w:p>
    <w:p>
      <w:pPr>
        <w:spacing w:line="420" w:lineRule="exact"/>
        <w:ind w:firstLine="480" w:firstLineChars="200"/>
        <w:rPr>
          <w:rFonts w:hint="eastAsia" w:ascii="宋体" w:hAnsi="宋体"/>
          <w:bCs/>
          <w:sz w:val="24"/>
        </w:rPr>
      </w:pPr>
      <w:r>
        <w:rPr>
          <w:rFonts w:hint="eastAsia" w:ascii="宋体" w:hAnsi="宋体"/>
          <w:bCs/>
          <w:sz w:val="24"/>
        </w:rPr>
        <w:t>5、产品知识培训：生产人员应当了解自己生产的产品是什么类别和剂型，基本药理作用是什么，作业过程中应如何防护，意外情况发生后有什么危害，如何进行应急处理等。</w:t>
      </w:r>
    </w:p>
    <w:p>
      <w:pPr>
        <w:spacing w:line="420" w:lineRule="exact"/>
        <w:ind w:firstLine="480" w:firstLineChars="200"/>
        <w:rPr>
          <w:rFonts w:hint="eastAsia" w:ascii="宋体" w:hAnsi="宋体"/>
          <w:bCs/>
          <w:sz w:val="24"/>
        </w:rPr>
      </w:pPr>
      <w:r>
        <w:rPr>
          <w:rFonts w:hint="eastAsia" w:ascii="宋体" w:hAnsi="宋体"/>
          <w:bCs/>
          <w:sz w:val="24"/>
        </w:rPr>
        <w:t>6、基础培训</w:t>
      </w:r>
    </w:p>
    <w:p>
      <w:pPr>
        <w:spacing w:line="420" w:lineRule="exact"/>
        <w:ind w:firstLine="480" w:firstLineChars="200"/>
        <w:rPr>
          <w:rFonts w:hint="eastAsia" w:ascii="宋体" w:hAnsi="宋体"/>
          <w:sz w:val="24"/>
        </w:rPr>
      </w:pPr>
      <w:r>
        <w:rPr>
          <w:rFonts w:hint="eastAsia" w:ascii="宋体" w:hAnsi="宋体"/>
          <w:sz w:val="24"/>
        </w:rPr>
        <w:t>6.1、培训内容包括GMP的各个方面及其实施细节，培训对象为经过GMP初级培训的人员。以GMP对生产及质量管理的基本要求为中心，组织讨论公司内部的SOP等基本管理制度；</w:t>
      </w:r>
    </w:p>
    <w:p>
      <w:pPr>
        <w:spacing w:line="420" w:lineRule="exact"/>
        <w:ind w:firstLine="480" w:firstLineChars="200"/>
        <w:rPr>
          <w:rFonts w:hint="eastAsia" w:ascii="宋体" w:hAnsi="宋体"/>
          <w:sz w:val="24"/>
        </w:rPr>
      </w:pPr>
      <w:r>
        <w:rPr>
          <w:rFonts w:hint="eastAsia" w:ascii="宋体" w:hAnsi="宋体"/>
          <w:sz w:val="24"/>
        </w:rPr>
        <w:t>6.2、药品的安全性：让员工了解药品质量的真正内涵，从药品质量的实例讨论入手使其认识到实施GMP的必要性和重要性；</w:t>
      </w:r>
    </w:p>
    <w:p>
      <w:pPr>
        <w:spacing w:line="420" w:lineRule="exact"/>
        <w:ind w:firstLine="480" w:firstLineChars="200"/>
        <w:rPr>
          <w:rFonts w:hint="eastAsia" w:ascii="宋体" w:hAnsi="宋体"/>
          <w:sz w:val="24"/>
        </w:rPr>
      </w:pPr>
      <w:r>
        <w:rPr>
          <w:rFonts w:hint="eastAsia" w:ascii="宋体" w:hAnsi="宋体"/>
          <w:sz w:val="24"/>
        </w:rPr>
        <w:t>6.3、混淆：介绍混淆的定义，分析讨论造成混药的原因以及GMP规范对厂房、设备、材料、人员的要求以及相应的公司内部管理制度；加深员工对混淆的认识和了解。</w:t>
      </w:r>
    </w:p>
    <w:p>
      <w:pPr>
        <w:spacing w:line="420" w:lineRule="exact"/>
        <w:ind w:firstLine="480" w:firstLineChars="200"/>
        <w:rPr>
          <w:rFonts w:hint="eastAsia" w:ascii="宋体" w:hAnsi="宋体"/>
          <w:sz w:val="24"/>
        </w:rPr>
      </w:pPr>
      <w:r>
        <w:rPr>
          <w:rFonts w:hint="eastAsia" w:ascii="宋体" w:hAnsi="宋体"/>
          <w:sz w:val="24"/>
        </w:rPr>
        <w:t>6.4、污染：介绍污染的定义，讨论分析造成污染的原因以及GMP规范对包装材料、厂房、设备、工艺、人员的要求以及相应的公司内部管理标准，加深员工对污染的认识和了解，从而避免污染。</w:t>
      </w:r>
    </w:p>
    <w:p>
      <w:pPr>
        <w:spacing w:line="420" w:lineRule="exact"/>
        <w:ind w:firstLine="480" w:firstLineChars="200"/>
        <w:rPr>
          <w:rFonts w:hint="eastAsia" w:ascii="宋体" w:hAnsi="宋体"/>
          <w:sz w:val="24"/>
        </w:rPr>
      </w:pPr>
      <w:r>
        <w:rPr>
          <w:rFonts w:hint="eastAsia" w:ascii="宋体" w:hAnsi="宋体"/>
          <w:sz w:val="24"/>
        </w:rPr>
        <w:t>6.5、措施：组织员工讨论防止混药及污染的措施和办法。</w:t>
      </w:r>
    </w:p>
    <w:p>
      <w:pPr>
        <w:spacing w:line="420" w:lineRule="exact"/>
        <w:ind w:firstLine="480" w:firstLineChars="200"/>
        <w:rPr>
          <w:rFonts w:hint="eastAsia" w:ascii="宋体" w:hAnsi="宋体"/>
          <w:sz w:val="24"/>
        </w:rPr>
      </w:pPr>
      <w:r>
        <w:rPr>
          <w:rFonts w:hint="eastAsia" w:ascii="宋体" w:hAnsi="宋体"/>
          <w:sz w:val="24"/>
        </w:rPr>
        <w:t>6.6、文件系统：SMP、SOP、批生产记录、批包装记录等，讨论按文件规定执行的重要性和必要性，强调要求如实按照GMP的要求记录实际过程中发生的情况。</w:t>
      </w:r>
    </w:p>
    <w:p>
      <w:pPr>
        <w:spacing w:line="420" w:lineRule="exact"/>
        <w:ind w:firstLine="480" w:firstLineChars="200"/>
        <w:rPr>
          <w:rFonts w:hint="eastAsia" w:ascii="宋体" w:hAnsi="宋体"/>
          <w:sz w:val="24"/>
        </w:rPr>
      </w:pPr>
      <w:r>
        <w:rPr>
          <w:rFonts w:hint="eastAsia" w:ascii="宋体" w:hAnsi="宋体"/>
          <w:sz w:val="24"/>
        </w:rPr>
        <w:t>6.7、工艺技术：讨论相关产品或剂型的工艺技术，强化员工对公司所用相关技术控制措施的认识和理解，它们是每个员工做好本职工作的重要先决条件。</w:t>
      </w:r>
    </w:p>
    <w:p>
      <w:pPr>
        <w:spacing w:line="420" w:lineRule="exact"/>
        <w:ind w:firstLine="480" w:firstLineChars="200"/>
        <w:rPr>
          <w:rFonts w:hint="eastAsia" w:ascii="宋体" w:hAnsi="宋体"/>
          <w:bCs/>
          <w:sz w:val="24"/>
        </w:rPr>
      </w:pPr>
      <w:r>
        <w:rPr>
          <w:rFonts w:hint="eastAsia" w:ascii="宋体" w:hAnsi="宋体"/>
          <w:bCs/>
          <w:sz w:val="24"/>
        </w:rPr>
        <w:t>7、继续培训</w:t>
      </w:r>
    </w:p>
    <w:p>
      <w:pPr>
        <w:spacing w:line="420" w:lineRule="exact"/>
        <w:ind w:firstLine="480" w:firstLineChars="200"/>
        <w:rPr>
          <w:rFonts w:hint="eastAsia" w:ascii="宋体" w:hAnsi="宋体"/>
          <w:sz w:val="24"/>
        </w:rPr>
      </w:pPr>
      <w:r>
        <w:rPr>
          <w:rFonts w:hint="eastAsia" w:ascii="宋体" w:hAnsi="宋体"/>
          <w:sz w:val="24"/>
        </w:rPr>
        <w:t>7.1、公司必须配备称职的培训人员对员工反复不断地进行GMP培训以保证每一个员工都熟知GMP法规对各自的要求。</w:t>
      </w:r>
    </w:p>
    <w:p>
      <w:pPr>
        <w:spacing w:line="420" w:lineRule="exact"/>
        <w:ind w:firstLine="480" w:firstLineChars="200"/>
        <w:rPr>
          <w:rFonts w:hint="eastAsia" w:ascii="宋体" w:hAnsi="宋体"/>
          <w:sz w:val="24"/>
        </w:rPr>
      </w:pPr>
      <w:r>
        <w:rPr>
          <w:rFonts w:hint="eastAsia" w:ascii="宋体" w:hAnsi="宋体"/>
          <w:sz w:val="24"/>
        </w:rPr>
        <w:t>7.2、继续培训应避免简单重复，应结合实践，注意变换形式，充实新的内容。</w:t>
      </w:r>
    </w:p>
    <w:p>
      <w:pPr>
        <w:spacing w:line="420" w:lineRule="exact"/>
        <w:ind w:firstLine="480" w:firstLineChars="200"/>
        <w:rPr>
          <w:rFonts w:hint="eastAsia" w:ascii="宋体" w:hAnsi="宋体"/>
          <w:sz w:val="24"/>
        </w:rPr>
      </w:pPr>
      <w:r>
        <w:rPr>
          <w:rFonts w:hint="eastAsia" w:ascii="宋体" w:hAnsi="宋体"/>
          <w:sz w:val="24"/>
        </w:rPr>
        <w:t>7.3、各层次的员工都应参加定期的再培训，以更新知识，提高认识。尤其当管理制度或操作制度修订后开始实施之前，必须对相关员工进行培训和考核，以保证所有执行人员都理解掌握了新制度的内容和要求，使照章办事落到实处。</w:t>
      </w:r>
    </w:p>
    <w:p>
      <w:pPr>
        <w:spacing w:line="420" w:lineRule="exact"/>
        <w:ind w:firstLine="480" w:firstLineChars="200"/>
        <w:rPr>
          <w:rFonts w:hint="eastAsia" w:ascii="宋体" w:hAnsi="宋体"/>
          <w:sz w:val="24"/>
        </w:rPr>
      </w:pPr>
      <w:r>
        <w:rPr>
          <w:rFonts w:hint="eastAsia" w:ascii="宋体" w:hAnsi="宋体"/>
          <w:sz w:val="24"/>
        </w:rPr>
        <w:t>7.4、GMP是动态的、发展的，因此对深化培训的对象还应介绍我国及国际GMP规范中新的要求及进展，进一步加深对GMP的理解，确保其切实按照GMP的要求做好工作。</w:t>
      </w:r>
    </w:p>
    <w:p>
      <w:pPr>
        <w:spacing w:line="420" w:lineRule="exact"/>
        <w:ind w:firstLine="480" w:firstLineChars="200"/>
        <w:rPr>
          <w:rFonts w:hint="eastAsia" w:ascii="宋体" w:hAnsi="宋体"/>
          <w:sz w:val="24"/>
        </w:rPr>
      </w:pPr>
      <w:r>
        <w:rPr>
          <w:rFonts w:hint="eastAsia" w:ascii="宋体" w:hAnsi="宋体"/>
          <w:sz w:val="24"/>
        </w:rPr>
        <w:t>7.5、各职能部门培训的内容还应当包括有关的专业基本知识，如分析化学、药物制剂、设备管理基本知识、卫生知识、环境保护知识、安全知识等。</w:t>
      </w:r>
    </w:p>
    <w:p>
      <w:pPr>
        <w:spacing w:line="420" w:lineRule="exact"/>
        <w:ind w:firstLine="480" w:firstLineChars="200"/>
        <w:rPr>
          <w:rFonts w:hint="eastAsia" w:ascii="宋体" w:hAnsi="宋体"/>
          <w:sz w:val="24"/>
        </w:rPr>
      </w:pPr>
      <w:r>
        <w:rPr>
          <w:rFonts w:hint="eastAsia" w:ascii="宋体" w:hAnsi="宋体"/>
          <w:sz w:val="24"/>
        </w:rPr>
        <w:t>7.6、深化培训的对象：决策层领导（总经理、副总经理）、管理层领导（各部门经理）、各类管理人员、技术人员和业务人员。</w:t>
      </w:r>
    </w:p>
    <w:p>
      <w:pPr>
        <w:spacing w:line="420" w:lineRule="exact"/>
        <w:ind w:firstLine="480" w:firstLineChars="200"/>
        <w:rPr>
          <w:rFonts w:hint="eastAsia" w:ascii="宋体" w:hAnsi="宋体"/>
          <w:sz w:val="24"/>
        </w:rPr>
      </w:pPr>
      <w:r>
        <w:rPr>
          <w:rFonts w:hint="eastAsia" w:ascii="宋体" w:hAnsi="宋体"/>
          <w:sz w:val="24"/>
        </w:rPr>
        <w:t>8、培训教育的目的：使管理人员和全体职工掌握GMP的基本概念，学习专业知识和技能，在实际生产管理中更好的执行GMP，确保生产全过程是在符合GMP的要求下进行，并生产出优质、合格的成品。</w:t>
      </w:r>
    </w:p>
    <w:p>
      <w:pPr>
        <w:spacing w:line="420" w:lineRule="exact"/>
        <w:ind w:firstLine="480" w:firstLineChars="200"/>
        <w:rPr>
          <w:rFonts w:hint="eastAsia" w:ascii="宋体" w:hAnsi="宋体"/>
          <w:sz w:val="24"/>
        </w:rPr>
      </w:pPr>
      <w:r>
        <w:rPr>
          <w:rFonts w:hint="eastAsia" w:ascii="宋体" w:hAnsi="宋体"/>
          <w:sz w:val="24"/>
        </w:rPr>
        <w:t>9、所有涉及培训、考核的各类文件、记录都要由行政部归档备查。</w:t>
      </w:r>
    </w:p>
    <w:p>
      <w:pPr>
        <w:spacing w:line="440" w:lineRule="exact"/>
        <w:ind w:firstLine="721" w:firstLineChars="300"/>
        <w:rPr>
          <w:rFonts w:hint="eastAsia"/>
          <w:b/>
          <w:bCs/>
          <w:sz w:val="24"/>
        </w:rPr>
      </w:pPr>
      <w:r>
        <w:rPr>
          <w:rFonts w:hint="eastAsia"/>
          <w:b/>
          <w:bCs/>
          <w:sz w:val="24"/>
        </w:rPr>
        <w:t>附：变更记载</w:t>
      </w:r>
    </w:p>
    <w:tbl>
      <w:tblPr>
        <w:tblStyle w:val="5"/>
        <w:tblW w:w="0" w:type="auto"/>
        <w:tblInd w:w="7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785"/>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exact"/>
              <w:jc w:val="center"/>
              <w:rPr>
                <w:rFonts w:hint="eastAsia"/>
                <w:b/>
                <w:bCs/>
                <w:sz w:val="24"/>
              </w:rPr>
            </w:pPr>
            <w:r>
              <w:rPr>
                <w:rFonts w:hint="eastAsia"/>
                <w:b/>
                <w:bCs/>
                <w:sz w:val="24"/>
              </w:rPr>
              <w:t>版本号</w:t>
            </w:r>
          </w:p>
        </w:tc>
        <w:tc>
          <w:tcPr>
            <w:tcW w:w="1785" w:type="dxa"/>
            <w:noWrap w:val="0"/>
            <w:vAlign w:val="center"/>
          </w:tcPr>
          <w:p>
            <w:pPr>
              <w:spacing w:line="440" w:lineRule="exact"/>
              <w:jc w:val="center"/>
              <w:rPr>
                <w:rFonts w:hint="eastAsia"/>
                <w:b/>
                <w:bCs/>
                <w:sz w:val="24"/>
              </w:rPr>
            </w:pPr>
            <w:r>
              <w:rPr>
                <w:rFonts w:hint="eastAsia"/>
                <w:b/>
                <w:bCs/>
                <w:sz w:val="24"/>
              </w:rPr>
              <w:t>实施日期</w:t>
            </w:r>
          </w:p>
        </w:tc>
        <w:tc>
          <w:tcPr>
            <w:tcW w:w="5145" w:type="dxa"/>
            <w:noWrap w:val="0"/>
            <w:vAlign w:val="center"/>
          </w:tcPr>
          <w:p>
            <w:pPr>
              <w:spacing w:line="440" w:lineRule="exact"/>
              <w:jc w:val="center"/>
              <w:rPr>
                <w:rFonts w:hint="eastAsia"/>
                <w:b/>
                <w:bCs/>
                <w:sz w:val="24"/>
              </w:rPr>
            </w:pPr>
            <w:r>
              <w:rPr>
                <w:rFonts w:hint="eastAsia"/>
                <w:b/>
                <w:bCs/>
                <w:sz w:val="24"/>
              </w:rPr>
              <w:t>变更原因、依据及变更内容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exact"/>
              <w:jc w:val="center"/>
              <w:rPr>
                <w:rFonts w:hint="eastAsia"/>
                <w:sz w:val="24"/>
              </w:rPr>
            </w:pPr>
            <w:r>
              <w:rPr>
                <w:rFonts w:hint="eastAsia" w:ascii="宋体" w:hAnsi="宋体"/>
                <w:sz w:val="24"/>
              </w:rPr>
              <w:t>2017年第1版</w:t>
            </w:r>
          </w:p>
        </w:tc>
        <w:tc>
          <w:tcPr>
            <w:tcW w:w="1785" w:type="dxa"/>
            <w:noWrap w:val="0"/>
            <w:vAlign w:val="center"/>
          </w:tcPr>
          <w:p>
            <w:pPr>
              <w:spacing w:line="440" w:lineRule="exact"/>
              <w:ind w:firstLine="480" w:firstLineChars="200"/>
              <w:rPr>
                <w:rFonts w:hint="eastAsia"/>
                <w:sz w:val="24"/>
              </w:rPr>
            </w:pPr>
          </w:p>
        </w:tc>
        <w:tc>
          <w:tcPr>
            <w:tcW w:w="5145" w:type="dxa"/>
            <w:noWrap w:val="0"/>
            <w:vAlign w:val="center"/>
          </w:tcPr>
          <w:p>
            <w:pPr>
              <w:spacing w:line="440" w:lineRule="exact"/>
              <w:jc w:val="center"/>
              <w:rPr>
                <w:rFonts w:hint="eastAsia"/>
                <w:sz w:val="24"/>
              </w:rPr>
            </w:pPr>
            <w:r>
              <w:rPr>
                <w:rFonts w:hint="eastAsia"/>
                <w:sz w:val="24"/>
              </w:rPr>
              <w:t>新建立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exact"/>
              <w:ind w:firstLine="480" w:firstLineChars="200"/>
              <w:rPr>
                <w:rFonts w:hint="eastAsia"/>
                <w:sz w:val="24"/>
              </w:rPr>
            </w:pPr>
          </w:p>
        </w:tc>
        <w:tc>
          <w:tcPr>
            <w:tcW w:w="1785" w:type="dxa"/>
            <w:noWrap w:val="0"/>
            <w:vAlign w:val="center"/>
          </w:tcPr>
          <w:p>
            <w:pPr>
              <w:spacing w:line="440" w:lineRule="exact"/>
              <w:ind w:firstLine="480" w:firstLineChars="200"/>
              <w:rPr>
                <w:rFonts w:hint="eastAsia"/>
                <w:sz w:val="24"/>
              </w:rPr>
            </w:pPr>
          </w:p>
        </w:tc>
        <w:tc>
          <w:tcPr>
            <w:tcW w:w="5145" w:type="dxa"/>
            <w:noWrap w:val="0"/>
            <w:vAlign w:val="center"/>
          </w:tcPr>
          <w:p>
            <w:pPr>
              <w:spacing w:line="440" w:lineRule="exact"/>
              <w:ind w:firstLine="480" w:firstLineChars="200"/>
              <w:rPr>
                <w:rFonts w:hint="eastAsia"/>
                <w:sz w:val="24"/>
              </w:rPr>
            </w:pPr>
          </w:p>
        </w:tc>
      </w:tr>
      <w:tr>
        <w:trPr>
          <w:wBefore w:w="0" w:type="dxa"/>
          <w:wAfter w:w="0" w:type="dxa"/>
        </w:trPr>
        <w:tc>
          <w:tcPr>
            <w:tcW w:w="1893" w:type="dxa"/>
            <w:noWrap w:val="0"/>
            <w:vAlign w:val="center"/>
          </w:tcPr>
          <w:p>
            <w:pPr>
              <w:spacing w:line="440" w:lineRule="exact"/>
              <w:ind w:firstLine="480" w:firstLineChars="200"/>
              <w:rPr>
                <w:rFonts w:hint="eastAsia"/>
                <w:sz w:val="24"/>
              </w:rPr>
            </w:pPr>
          </w:p>
        </w:tc>
        <w:tc>
          <w:tcPr>
            <w:tcW w:w="1785" w:type="dxa"/>
            <w:noWrap w:val="0"/>
            <w:vAlign w:val="center"/>
          </w:tcPr>
          <w:p>
            <w:pPr>
              <w:spacing w:line="440" w:lineRule="exact"/>
              <w:ind w:firstLine="480" w:firstLineChars="200"/>
              <w:rPr>
                <w:rFonts w:hint="eastAsia"/>
                <w:sz w:val="24"/>
              </w:rPr>
            </w:pPr>
          </w:p>
        </w:tc>
        <w:tc>
          <w:tcPr>
            <w:tcW w:w="5145" w:type="dxa"/>
            <w:noWrap w:val="0"/>
            <w:vAlign w:val="center"/>
          </w:tcPr>
          <w:p>
            <w:pPr>
              <w:spacing w:line="440" w:lineRule="exact"/>
              <w:ind w:firstLine="480" w:firstLineChars="2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1893" w:type="dxa"/>
            <w:noWrap w:val="0"/>
            <w:vAlign w:val="center"/>
          </w:tcPr>
          <w:p>
            <w:pPr>
              <w:spacing w:line="440" w:lineRule="exact"/>
              <w:ind w:firstLine="480" w:firstLineChars="200"/>
              <w:rPr>
                <w:rFonts w:hint="eastAsia"/>
                <w:sz w:val="24"/>
              </w:rPr>
            </w:pPr>
          </w:p>
        </w:tc>
        <w:tc>
          <w:tcPr>
            <w:tcW w:w="1785" w:type="dxa"/>
            <w:noWrap w:val="0"/>
            <w:vAlign w:val="center"/>
          </w:tcPr>
          <w:p>
            <w:pPr>
              <w:spacing w:line="440" w:lineRule="exact"/>
              <w:ind w:firstLine="480" w:firstLineChars="200"/>
              <w:rPr>
                <w:rFonts w:hint="eastAsia"/>
                <w:sz w:val="24"/>
              </w:rPr>
            </w:pPr>
          </w:p>
        </w:tc>
        <w:tc>
          <w:tcPr>
            <w:tcW w:w="5145" w:type="dxa"/>
            <w:noWrap w:val="0"/>
            <w:vAlign w:val="center"/>
          </w:tcPr>
          <w:p>
            <w:pPr>
              <w:spacing w:line="440" w:lineRule="exact"/>
              <w:ind w:firstLine="480" w:firstLineChars="200"/>
              <w:rPr>
                <w:rFonts w:hint="eastAsia"/>
                <w:sz w:val="24"/>
              </w:rPr>
            </w:pPr>
          </w:p>
        </w:tc>
      </w:tr>
    </w:tbl>
    <w:p>
      <w:pPr>
        <w:spacing w:line="420" w:lineRule="exact"/>
        <w:ind w:firstLine="480" w:firstLineChars="200"/>
        <w:rPr>
          <w:rFonts w:hint="eastAsia" w:ascii="隶书" w:hAnsi="宋体" w:eastAsia="隶书"/>
          <w:sz w:val="24"/>
        </w:rPr>
      </w:pPr>
    </w:p>
    <w:sectPr>
      <w:headerReference r:id="rId3" w:type="default"/>
      <w:footerReference r:id="rId4"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隶书">
    <w:altName w:val="宋体-简"/>
    <w:panose1 w:val="02010509060101010101"/>
    <w:charset w:val="00"/>
    <w:family w:val="modern"/>
    <w:pitch w:val="default"/>
    <w:sig w:usb0="00000001" w:usb1="080E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cs="宋体"/>
        <w:sz w:val="21"/>
        <w:szCs w:val="21"/>
      </w:rPr>
    </w:pPr>
    <w:r>
      <w:rPr>
        <w:rFonts w:hint="eastAsia" w:ascii="宋体" w:hAnsi="宋体" w:cs="宋体"/>
        <w:kern w:val="0"/>
        <w:sz w:val="21"/>
        <w:szCs w:val="21"/>
      </w:rPr>
      <w:t xml:space="preserve">第 </w:t>
    </w:r>
    <w:r>
      <w:rPr>
        <w:rFonts w:hint="eastAsia" w:ascii="宋体" w:hAnsi="宋体" w:cs="宋体"/>
        <w:kern w:val="0"/>
        <w:sz w:val="21"/>
        <w:szCs w:val="21"/>
      </w:rPr>
      <w:fldChar w:fldCharType="begin"/>
    </w:r>
    <w:r>
      <w:rPr>
        <w:rFonts w:hint="eastAsia" w:ascii="宋体" w:hAnsi="宋体" w:cs="宋体"/>
        <w:kern w:val="0"/>
        <w:sz w:val="21"/>
        <w:szCs w:val="21"/>
      </w:rPr>
      <w:instrText xml:space="preserve"> PAGE </w:instrText>
    </w:r>
    <w:r>
      <w:rPr>
        <w:rFonts w:hint="eastAsia" w:ascii="宋体" w:hAnsi="宋体" w:cs="宋体"/>
        <w:kern w:val="0"/>
        <w:sz w:val="21"/>
        <w:szCs w:val="21"/>
      </w:rPr>
      <w:fldChar w:fldCharType="separate"/>
    </w:r>
    <w:r>
      <w:rPr>
        <w:rFonts w:ascii="宋体" w:hAnsi="宋体" w:cs="宋体"/>
        <w:kern w:val="0"/>
        <w:sz w:val="21"/>
        <w:szCs w:val="21"/>
        <w:lang/>
      </w:rPr>
      <w:t>2</w:t>
    </w:r>
    <w:r>
      <w:rPr>
        <w:rFonts w:hint="eastAsia" w:ascii="宋体" w:hAnsi="宋体" w:cs="宋体"/>
        <w:kern w:val="0"/>
        <w:sz w:val="21"/>
        <w:szCs w:val="21"/>
      </w:rPr>
      <w:fldChar w:fldCharType="end"/>
    </w:r>
    <w:r>
      <w:rPr>
        <w:rFonts w:hint="eastAsia" w:ascii="宋体" w:hAnsi="宋体" w:cs="宋体"/>
        <w:kern w:val="0"/>
        <w:sz w:val="21"/>
        <w:szCs w:val="21"/>
      </w:rPr>
      <w:t xml:space="preserve"> 页 共 </w:t>
    </w:r>
    <w:r>
      <w:rPr>
        <w:rFonts w:hint="eastAsia" w:ascii="宋体" w:hAnsi="宋体" w:cs="宋体"/>
        <w:kern w:val="0"/>
        <w:sz w:val="21"/>
        <w:szCs w:val="21"/>
      </w:rPr>
      <w:fldChar w:fldCharType="begin"/>
    </w:r>
    <w:r>
      <w:rPr>
        <w:rFonts w:hint="eastAsia" w:ascii="宋体" w:hAnsi="宋体" w:cs="宋体"/>
        <w:kern w:val="0"/>
        <w:sz w:val="21"/>
        <w:szCs w:val="21"/>
      </w:rPr>
      <w:instrText xml:space="preserve"> NUMPAGES </w:instrText>
    </w:r>
    <w:r>
      <w:rPr>
        <w:rFonts w:hint="eastAsia" w:ascii="宋体" w:hAnsi="宋体" w:cs="宋体"/>
        <w:kern w:val="0"/>
        <w:sz w:val="21"/>
        <w:szCs w:val="21"/>
      </w:rPr>
      <w:fldChar w:fldCharType="separate"/>
    </w:r>
    <w:r>
      <w:rPr>
        <w:rFonts w:ascii="宋体" w:hAnsi="宋体" w:cs="宋体"/>
        <w:kern w:val="0"/>
        <w:sz w:val="21"/>
        <w:szCs w:val="21"/>
        <w:lang/>
      </w:rPr>
      <w:t>3</w:t>
    </w:r>
    <w:r>
      <w:rPr>
        <w:rFonts w:hint="eastAsia" w:ascii="宋体" w:hAnsi="宋体" w:cs="宋体"/>
        <w:kern w:val="0"/>
        <w:sz w:val="21"/>
        <w:szCs w:val="21"/>
      </w:rPr>
      <w:fldChar w:fldCharType="end"/>
    </w:r>
    <w:r>
      <w:rPr>
        <w:rFonts w:hint="eastAsia" w:ascii="宋体" w:hAnsi="宋体" w:cs="宋体"/>
        <w:kern w:val="0"/>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宋体" w:hAnsi="宋体" w:cs="宋体"/>
        <w:sz w:val="21"/>
        <w:szCs w:val="21"/>
      </w:rPr>
    </w:pPr>
    <w:r>
      <w:rPr>
        <w:rFonts w:hint="eastAsia" w:ascii="宋体" w:hAnsi="宋体" w:cs="宋体"/>
        <w:sz w:val="21"/>
        <w:szCs w:val="21"/>
      </w:rPr>
      <w:t>浙江龙泉正大生物科技有限公司受控文件                                文件编号：SMP-02-003-00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27"/>
    <w:rsid w:val="000915DD"/>
    <w:rsid w:val="00097A1E"/>
    <w:rsid w:val="000E6600"/>
    <w:rsid w:val="001C1DA1"/>
    <w:rsid w:val="00231EF3"/>
    <w:rsid w:val="002D7668"/>
    <w:rsid w:val="003A6463"/>
    <w:rsid w:val="003B2A21"/>
    <w:rsid w:val="003D37A2"/>
    <w:rsid w:val="00442127"/>
    <w:rsid w:val="0048563F"/>
    <w:rsid w:val="00570C3B"/>
    <w:rsid w:val="005C04B2"/>
    <w:rsid w:val="005F1034"/>
    <w:rsid w:val="00667E61"/>
    <w:rsid w:val="00694DBE"/>
    <w:rsid w:val="0073537E"/>
    <w:rsid w:val="007A6CC9"/>
    <w:rsid w:val="008A1CD6"/>
    <w:rsid w:val="009C035E"/>
    <w:rsid w:val="00A20A33"/>
    <w:rsid w:val="00A453A0"/>
    <w:rsid w:val="00A56F5D"/>
    <w:rsid w:val="00AA2410"/>
    <w:rsid w:val="00AE583E"/>
    <w:rsid w:val="00B0662C"/>
    <w:rsid w:val="00B42BAF"/>
    <w:rsid w:val="00BA2E55"/>
    <w:rsid w:val="00C41791"/>
    <w:rsid w:val="00C418B8"/>
    <w:rsid w:val="00C87F1E"/>
    <w:rsid w:val="00CA0E58"/>
    <w:rsid w:val="00D42EC8"/>
    <w:rsid w:val="00D65E28"/>
    <w:rsid w:val="00D7472E"/>
    <w:rsid w:val="00DE3818"/>
    <w:rsid w:val="00DF542B"/>
    <w:rsid w:val="00E136BD"/>
    <w:rsid w:val="00E613EE"/>
    <w:rsid w:val="00E87EC8"/>
    <w:rsid w:val="00E96518"/>
    <w:rsid w:val="00E96609"/>
    <w:rsid w:val="00EE5E33"/>
    <w:rsid w:val="00EF39A8"/>
    <w:rsid w:val="00EF6325"/>
    <w:rsid w:val="00F76328"/>
    <w:rsid w:val="00FC7437"/>
    <w:rsid w:val="00FD6FA7"/>
    <w:rsid w:val="25CA26DB"/>
    <w:rsid w:val="2834170C"/>
    <w:rsid w:val="36166AD5"/>
    <w:rsid w:val="3AF25D8C"/>
    <w:rsid w:val="4BA6037C"/>
    <w:rsid w:val="5C6703C6"/>
    <w:rsid w:val="9EFDC0A9"/>
    <w:rsid w:val="FFFF01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自由</Company>
  <Pages>3</Pages>
  <Words>334</Words>
  <Characters>1907</Characters>
  <Lines>15</Lines>
  <Paragraphs>4</Paragraphs>
  <ScaleCrop>false</ScaleCrop>
  <LinksUpToDate>false</LinksUpToDate>
  <CharactersWithSpaces>2237</CharactersWithSpaces>
  <Application>WPS Office_2.0.0.3163_F1E327BC-269C-435d-A152-05C5408002CA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2017-01-05T08:25:00Z</dcterms:created>
  <dc:creator>admin</dc:creator>
  <cp:lastModifiedBy>liucg</cp:lastModifiedBy>
  <dcterms:modified xsi:type="dcterms:W3CDTF">2020-03-10T14:18:24Z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